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E17AD" w14:textId="23F030AD" w:rsidR="00BD52AD" w:rsidRPr="00BD52AD" w:rsidRDefault="007328A0" w:rsidP="00BD52AD">
      <w:pPr>
        <w:pStyle w:val="Heading1"/>
        <w:jc w:val="center"/>
        <w:rPr>
          <w:color w:val="auto"/>
          <w:u w:val="single"/>
          <w:lang w:val="en-US"/>
        </w:rPr>
      </w:pPr>
      <w:r w:rsidRPr="00BD52AD">
        <w:rPr>
          <w:rStyle w:val="notranslate"/>
          <w:color w:val="auto"/>
          <w:u w:val="single"/>
          <w:lang w:val="en-US"/>
        </w:rPr>
        <w:t xml:space="preserve">PEMPAL </w:t>
      </w:r>
      <w:r w:rsidR="00BD52AD" w:rsidRPr="00BD52AD">
        <w:rPr>
          <w:rStyle w:val="notranslate"/>
          <w:color w:val="auto"/>
          <w:u w:val="single"/>
          <w:lang w:val="en-US"/>
        </w:rPr>
        <w:t>T</w:t>
      </w:r>
      <w:r w:rsidR="00CE4154" w:rsidRPr="00BD52AD">
        <w:rPr>
          <w:rStyle w:val="notranslate"/>
          <w:color w:val="auto"/>
          <w:u w:val="single"/>
          <w:lang w:val="en-US"/>
        </w:rPr>
        <w:t xml:space="preserve">COP </w:t>
      </w:r>
      <w:r w:rsidR="00C42A67">
        <w:rPr>
          <w:rStyle w:val="notranslate"/>
          <w:color w:val="auto"/>
          <w:u w:val="single"/>
          <w:lang w:val="en-US"/>
        </w:rPr>
        <w:t xml:space="preserve">– Report on the </w:t>
      </w:r>
      <w:r w:rsidR="00BD52AD" w:rsidRPr="00BD52AD">
        <w:rPr>
          <w:rStyle w:val="notranslate"/>
          <w:color w:val="auto"/>
          <w:u w:val="single"/>
          <w:lang w:val="en-US"/>
        </w:rPr>
        <w:t>S</w:t>
      </w:r>
      <w:r w:rsidR="001236A7" w:rsidRPr="00BD52AD">
        <w:rPr>
          <w:rStyle w:val="notranslate"/>
          <w:color w:val="auto"/>
          <w:u w:val="single"/>
          <w:lang w:val="en-US"/>
        </w:rPr>
        <w:t xml:space="preserve">urvey </w:t>
      </w:r>
      <w:r w:rsidR="00BD52AD" w:rsidRPr="00BD52AD">
        <w:rPr>
          <w:rStyle w:val="notranslate"/>
          <w:color w:val="auto"/>
          <w:u w:val="single"/>
          <w:lang w:val="en-US"/>
        </w:rPr>
        <w:t xml:space="preserve">on </w:t>
      </w:r>
      <w:r w:rsidR="004B1F48">
        <w:rPr>
          <w:rStyle w:val="notranslate"/>
          <w:color w:val="auto"/>
          <w:u w:val="single"/>
          <w:lang w:val="en-US"/>
        </w:rPr>
        <w:t>Non-</w:t>
      </w:r>
      <w:r w:rsidR="00BD52AD" w:rsidRPr="00BD52AD">
        <w:rPr>
          <w:rStyle w:val="notranslate"/>
          <w:color w:val="auto"/>
          <w:u w:val="single"/>
          <w:lang w:val="en-US"/>
        </w:rPr>
        <w:t xml:space="preserve">Financial </w:t>
      </w:r>
      <w:r w:rsidR="004B1F48">
        <w:rPr>
          <w:rStyle w:val="notranslate"/>
          <w:color w:val="auto"/>
          <w:u w:val="single"/>
          <w:lang w:val="en-US"/>
        </w:rPr>
        <w:t>Assets</w:t>
      </w:r>
    </w:p>
    <w:p w14:paraId="36EF0298" w14:textId="77777777" w:rsidR="00CE4154" w:rsidRPr="00EB322A" w:rsidRDefault="00CE4154" w:rsidP="001235A5">
      <w:pPr>
        <w:spacing w:line="360" w:lineRule="auto"/>
        <w:rPr>
          <w:rStyle w:val="notranslate"/>
          <w:b/>
          <w:u w:val="single"/>
          <w:lang w:val="en-US"/>
        </w:rPr>
      </w:pPr>
    </w:p>
    <w:p w14:paraId="0A434448" w14:textId="77777777" w:rsidR="00AB26D6" w:rsidRPr="00EB322A" w:rsidRDefault="00AB26D6" w:rsidP="006A26AE">
      <w:pPr>
        <w:rPr>
          <w:rStyle w:val="notranslate"/>
          <w:b/>
          <w:u w:val="single"/>
          <w:lang w:val="en-US"/>
        </w:rPr>
      </w:pPr>
    </w:p>
    <w:p w14:paraId="4FB3F634" w14:textId="0FDC8414" w:rsidR="00C42A67" w:rsidRDefault="007328A0" w:rsidP="006A26AE">
      <w:pPr>
        <w:rPr>
          <w:lang w:val="en-US"/>
        </w:rPr>
      </w:pPr>
      <w:r w:rsidRPr="00EB322A">
        <w:rPr>
          <w:lang w:val="en-US"/>
        </w:rPr>
        <w:t xml:space="preserve">The survey was organized </w:t>
      </w:r>
      <w:r w:rsidR="001270EB">
        <w:rPr>
          <w:lang w:val="en-US"/>
        </w:rPr>
        <w:t>at</w:t>
      </w:r>
      <w:r w:rsidRPr="00EB322A">
        <w:rPr>
          <w:lang w:val="en-US"/>
        </w:rPr>
        <w:t xml:space="preserve"> the initiative of the</w:t>
      </w:r>
      <w:r w:rsidR="001270EB">
        <w:rPr>
          <w:lang w:val="en-US"/>
        </w:rPr>
        <w:t xml:space="preserve"> Treasury Community of Practice (TCoP)</w:t>
      </w:r>
      <w:r w:rsidRPr="00EB322A">
        <w:rPr>
          <w:lang w:val="en-US"/>
        </w:rPr>
        <w:t xml:space="preserve"> and was designed to </w:t>
      </w:r>
      <w:r w:rsidR="00AB26D6" w:rsidRPr="00EB322A">
        <w:rPr>
          <w:rStyle w:val="notranslate"/>
          <w:lang w:val="en-US"/>
        </w:rPr>
        <w:t>collect information from all coun</w:t>
      </w:r>
      <w:r w:rsidR="004B1F48">
        <w:rPr>
          <w:rStyle w:val="notranslate"/>
          <w:lang w:val="en-US"/>
        </w:rPr>
        <w:t>tries represented in TC</w:t>
      </w:r>
      <w:r w:rsidR="001270EB">
        <w:rPr>
          <w:rStyle w:val="notranslate"/>
          <w:lang w:val="en-US"/>
        </w:rPr>
        <w:t>o</w:t>
      </w:r>
      <w:r w:rsidR="004B1F48">
        <w:rPr>
          <w:rStyle w:val="notranslate"/>
          <w:lang w:val="en-US"/>
        </w:rPr>
        <w:t>P on non-financial assets</w:t>
      </w:r>
      <w:r w:rsidR="001270EB">
        <w:rPr>
          <w:rStyle w:val="notranslate"/>
          <w:lang w:val="en-US"/>
        </w:rPr>
        <w:t xml:space="preserve">. </w:t>
      </w:r>
      <w:r w:rsidR="00F93724" w:rsidRPr="00EB322A">
        <w:rPr>
          <w:lang w:val="en-US"/>
        </w:rPr>
        <w:t xml:space="preserve">Invitation to take part in the survey was sent to all </w:t>
      </w:r>
      <w:r w:rsidR="00F93724">
        <w:rPr>
          <w:lang w:val="en-US"/>
        </w:rPr>
        <w:t>T</w:t>
      </w:r>
      <w:r w:rsidR="00F93724" w:rsidRPr="00EB322A">
        <w:rPr>
          <w:lang w:val="en-US"/>
        </w:rPr>
        <w:t>CoP member</w:t>
      </w:r>
      <w:r w:rsidR="00F93724">
        <w:rPr>
          <w:lang w:val="en-US"/>
        </w:rPr>
        <w:t xml:space="preserve"> countries</w:t>
      </w:r>
      <w:r w:rsidR="00F93724" w:rsidRPr="00EB322A">
        <w:rPr>
          <w:lang w:val="en-US"/>
        </w:rPr>
        <w:t xml:space="preserve">. </w:t>
      </w:r>
      <w:r w:rsidRPr="00EB322A">
        <w:rPr>
          <w:lang w:val="en-US"/>
        </w:rPr>
        <w:t>The surve</w:t>
      </w:r>
      <w:r w:rsidR="001270EB">
        <w:rPr>
          <w:lang w:val="en-US"/>
        </w:rPr>
        <w:t>y started collecting responses o</w:t>
      </w:r>
      <w:r w:rsidRPr="00EB322A">
        <w:rPr>
          <w:lang w:val="en-US"/>
        </w:rPr>
        <w:t xml:space="preserve">n </w:t>
      </w:r>
      <w:r w:rsidR="004B1F48">
        <w:rPr>
          <w:lang w:val="en-US"/>
        </w:rPr>
        <w:t>6th</w:t>
      </w:r>
      <w:r w:rsidRPr="00EB322A">
        <w:rPr>
          <w:lang w:val="en-US"/>
        </w:rPr>
        <w:t xml:space="preserve"> of </w:t>
      </w:r>
      <w:r w:rsidR="004B1F48">
        <w:rPr>
          <w:lang w:val="en-US"/>
        </w:rPr>
        <w:t>December, 2013</w:t>
      </w:r>
      <w:r w:rsidRPr="00EB322A">
        <w:rPr>
          <w:lang w:val="en-US"/>
        </w:rPr>
        <w:t xml:space="preserve">. </w:t>
      </w:r>
      <w:r w:rsidR="00F93724">
        <w:rPr>
          <w:lang w:val="en-US"/>
        </w:rPr>
        <w:t>12 countries responded by the deadline of</w:t>
      </w:r>
      <w:r w:rsidRPr="00EB322A">
        <w:rPr>
          <w:lang w:val="en-US"/>
        </w:rPr>
        <w:t xml:space="preserve"> </w:t>
      </w:r>
      <w:r w:rsidR="004B1F48">
        <w:rPr>
          <w:lang w:val="en-US"/>
        </w:rPr>
        <w:t>10</w:t>
      </w:r>
      <w:r w:rsidRPr="00EB322A">
        <w:rPr>
          <w:lang w:val="en-US"/>
        </w:rPr>
        <w:t xml:space="preserve"> </w:t>
      </w:r>
      <w:r w:rsidR="004B1F48">
        <w:rPr>
          <w:lang w:val="en-US"/>
        </w:rPr>
        <w:t>January</w:t>
      </w:r>
      <w:r w:rsidRPr="00EB322A">
        <w:rPr>
          <w:lang w:val="en-US"/>
        </w:rPr>
        <w:t>, 201</w:t>
      </w:r>
      <w:r w:rsidR="004B1F48">
        <w:rPr>
          <w:lang w:val="en-US"/>
        </w:rPr>
        <w:t>4</w:t>
      </w:r>
      <w:r w:rsidR="00F93724">
        <w:rPr>
          <w:lang w:val="en-US"/>
        </w:rPr>
        <w:t xml:space="preserve"> (</w:t>
      </w:r>
      <w:r w:rsidR="00F93724" w:rsidRPr="00EB322A">
        <w:rPr>
          <w:lang w:val="en-US"/>
        </w:rPr>
        <w:t xml:space="preserve">Bulgaria, Croatia, Georgia, Kazakhstan, Macedonia, Moldova, </w:t>
      </w:r>
      <w:r w:rsidR="00F93724">
        <w:rPr>
          <w:lang w:val="en-US"/>
        </w:rPr>
        <w:t xml:space="preserve">Montenegro, </w:t>
      </w:r>
      <w:r w:rsidR="00F93724" w:rsidRPr="00EB322A">
        <w:rPr>
          <w:lang w:val="en-US"/>
        </w:rPr>
        <w:t xml:space="preserve">Russia, </w:t>
      </w:r>
      <w:r w:rsidR="00F93724" w:rsidRPr="00A75FE1">
        <w:rPr>
          <w:lang w:val="en-US"/>
        </w:rPr>
        <w:t>Serbia</w:t>
      </w:r>
      <w:r w:rsidR="00F93724" w:rsidRPr="00EB322A">
        <w:rPr>
          <w:lang w:val="en-US"/>
        </w:rPr>
        <w:t>, Tajikistan</w:t>
      </w:r>
      <w:r w:rsidR="00F93724">
        <w:rPr>
          <w:lang w:val="en-US"/>
        </w:rPr>
        <w:t>, Ukraine and Uzbekistan)</w:t>
      </w:r>
      <w:r w:rsidR="00F93724" w:rsidRPr="00EB322A">
        <w:rPr>
          <w:lang w:val="en-US"/>
        </w:rPr>
        <w:t>.</w:t>
      </w:r>
      <w:r w:rsidR="00F258CC">
        <w:rPr>
          <w:lang w:val="en-US"/>
        </w:rPr>
        <w:t xml:space="preserve"> </w:t>
      </w:r>
      <w:r w:rsidRPr="00EB322A">
        <w:rPr>
          <w:lang w:val="en-US"/>
        </w:rPr>
        <w:t xml:space="preserve">The survey was designed in </w:t>
      </w:r>
      <w:r w:rsidR="001270EB">
        <w:rPr>
          <w:lang w:val="en-US"/>
        </w:rPr>
        <w:t>three</w:t>
      </w:r>
      <w:r w:rsidRPr="00EB322A">
        <w:rPr>
          <w:lang w:val="en-US"/>
        </w:rPr>
        <w:t xml:space="preserve"> languages: English, Russian, and </w:t>
      </w:r>
      <w:r w:rsidR="002A2F5E" w:rsidRPr="00EB322A">
        <w:rPr>
          <w:lang w:val="en-US"/>
        </w:rPr>
        <w:t>Bosnian</w:t>
      </w:r>
      <w:r w:rsidR="004F5767">
        <w:rPr>
          <w:lang w:val="en-US"/>
        </w:rPr>
        <w:t>.</w:t>
      </w:r>
      <w:r w:rsidR="001270EB">
        <w:rPr>
          <w:lang w:val="en-US"/>
        </w:rPr>
        <w:t xml:space="preserve"> </w:t>
      </w:r>
      <w:r w:rsidR="00F93724">
        <w:rPr>
          <w:lang w:val="en-US"/>
        </w:rPr>
        <w:t xml:space="preserve">The </w:t>
      </w:r>
      <w:r w:rsidRPr="00EB322A">
        <w:rPr>
          <w:lang w:val="en-US"/>
        </w:rPr>
        <w:t xml:space="preserve">Survey </w:t>
      </w:r>
      <w:r w:rsidR="00563A6A">
        <w:rPr>
          <w:lang w:val="en-US"/>
        </w:rPr>
        <w:t>comprised</w:t>
      </w:r>
      <w:r w:rsidRPr="00EB322A">
        <w:rPr>
          <w:lang w:val="en-US"/>
        </w:rPr>
        <w:t xml:space="preserve"> </w:t>
      </w:r>
      <w:r w:rsidR="00B74B13">
        <w:rPr>
          <w:lang w:val="en-US"/>
        </w:rPr>
        <w:t>23</w:t>
      </w:r>
      <w:r w:rsidRPr="00EB322A">
        <w:rPr>
          <w:lang w:val="en-US"/>
        </w:rPr>
        <w:t xml:space="preserve"> questions</w:t>
      </w:r>
      <w:r w:rsidR="00C42A67">
        <w:rPr>
          <w:lang w:val="en-US"/>
        </w:rPr>
        <w:t>.</w:t>
      </w:r>
      <w:r w:rsidR="001270EB">
        <w:rPr>
          <w:lang w:val="en-US"/>
        </w:rPr>
        <w:t xml:space="preserve"> </w:t>
      </w:r>
    </w:p>
    <w:p w14:paraId="7EED1A74" w14:textId="77777777" w:rsidR="00C42A67" w:rsidRDefault="00C42A67" w:rsidP="001270EB">
      <w:pPr>
        <w:spacing w:line="360" w:lineRule="auto"/>
        <w:rPr>
          <w:lang w:val="en-US"/>
        </w:rPr>
      </w:pPr>
    </w:p>
    <w:p w14:paraId="0D54EEC6" w14:textId="2AEAF1D8" w:rsidR="00AB26D6" w:rsidRPr="004F5767" w:rsidRDefault="00C42A67" w:rsidP="006A26AE">
      <w:pPr>
        <w:rPr>
          <w:rStyle w:val="notranslate"/>
          <w:lang w:val="en-US"/>
        </w:rPr>
      </w:pPr>
      <w:r>
        <w:rPr>
          <w:lang w:val="en-US"/>
        </w:rPr>
        <w:t xml:space="preserve">The details on the </w:t>
      </w:r>
      <w:r w:rsidR="00F93724">
        <w:rPr>
          <w:lang w:val="en-US"/>
        </w:rPr>
        <w:t xml:space="preserve">country responses </w:t>
      </w:r>
      <w:r w:rsidR="001270EB">
        <w:rPr>
          <w:lang w:val="en-US"/>
        </w:rPr>
        <w:t>and interpretation of the results</w:t>
      </w:r>
      <w:r w:rsidR="00F93724">
        <w:rPr>
          <w:lang w:val="en-US"/>
        </w:rPr>
        <w:t xml:space="preserve"> </w:t>
      </w:r>
      <w:r>
        <w:rPr>
          <w:lang w:val="en-US"/>
        </w:rPr>
        <w:t>are summarized in the following report</w:t>
      </w:r>
      <w:r w:rsidR="00F93724">
        <w:rPr>
          <w:lang w:val="en-US"/>
        </w:rPr>
        <w:t xml:space="preserve">. </w:t>
      </w:r>
    </w:p>
    <w:p w14:paraId="008CCDA1" w14:textId="15C79D0B" w:rsidR="00B53FBA" w:rsidRPr="00EB322A" w:rsidRDefault="00B53FBA" w:rsidP="004F5767">
      <w:pPr>
        <w:rPr>
          <w:rStyle w:val="notranslate"/>
          <w:b/>
          <w:u w:val="single"/>
          <w:lang w:val="en-US"/>
        </w:rPr>
      </w:pPr>
    </w:p>
    <w:p w14:paraId="7C403C16" w14:textId="4A7185BE" w:rsidR="00162453" w:rsidRPr="00C25949" w:rsidRDefault="00563A6A" w:rsidP="00C25949">
      <w:pPr>
        <w:rPr>
          <w:rStyle w:val="notranslate"/>
          <w:b/>
          <w:sz w:val="28"/>
          <w:szCs w:val="28"/>
          <w:u w:val="single"/>
          <w:lang w:val="en-US"/>
        </w:rPr>
      </w:pPr>
      <w:r w:rsidRPr="00C25949">
        <w:rPr>
          <w:rStyle w:val="notranslate"/>
          <w:b/>
          <w:sz w:val="28"/>
          <w:szCs w:val="28"/>
          <w:lang w:val="en-US"/>
        </w:rPr>
        <w:t>Stock-take</w:t>
      </w:r>
      <w:r w:rsidR="00B8097A" w:rsidRPr="00C25949">
        <w:rPr>
          <w:rStyle w:val="notranslate"/>
          <w:b/>
          <w:sz w:val="28"/>
          <w:szCs w:val="28"/>
          <w:lang w:val="en-US"/>
        </w:rPr>
        <w:t xml:space="preserve"> of Non-financial Assets</w:t>
      </w:r>
    </w:p>
    <w:p w14:paraId="3591FB60" w14:textId="77777777" w:rsidR="001270EB" w:rsidRPr="00002436" w:rsidRDefault="001270EB" w:rsidP="001270EB">
      <w:pPr>
        <w:rPr>
          <w:lang w:val="en-US"/>
        </w:rPr>
      </w:pPr>
    </w:p>
    <w:p w14:paraId="3C6555B0" w14:textId="73FBBBED" w:rsidR="001270EB" w:rsidRPr="00002436" w:rsidRDefault="001270EB" w:rsidP="001270EB">
      <w:pPr>
        <w:rPr>
          <w:i/>
          <w:lang w:val="en-US"/>
        </w:rPr>
      </w:pPr>
      <w:r w:rsidRPr="00002436">
        <w:rPr>
          <w:i/>
          <w:lang w:val="en-US"/>
        </w:rPr>
        <w:t xml:space="preserve">The section was designed to determine whether countries undertake regular stocktakes </w:t>
      </w:r>
      <w:r w:rsidR="00B44B36" w:rsidRPr="00002436">
        <w:rPr>
          <w:i/>
          <w:lang w:val="en-US"/>
        </w:rPr>
        <w:t xml:space="preserve">of assets and the scope of the </w:t>
      </w:r>
      <w:r w:rsidR="004C3397" w:rsidRPr="00002436">
        <w:rPr>
          <w:i/>
          <w:lang w:val="en-US"/>
        </w:rPr>
        <w:t xml:space="preserve">stocktaking </w:t>
      </w:r>
      <w:r w:rsidR="00B44B36" w:rsidRPr="00002436">
        <w:rPr>
          <w:i/>
          <w:lang w:val="en-US"/>
        </w:rPr>
        <w:t>exercise</w:t>
      </w:r>
      <w:r w:rsidRPr="00002436">
        <w:rPr>
          <w:i/>
          <w:lang w:val="en-US"/>
        </w:rPr>
        <w:t xml:space="preserve">. </w:t>
      </w:r>
    </w:p>
    <w:p w14:paraId="474E0730" w14:textId="77777777" w:rsidR="00CE4154" w:rsidRPr="00EB322A" w:rsidRDefault="00CE4154" w:rsidP="00004CB4">
      <w:pPr>
        <w:ind w:left="720"/>
        <w:rPr>
          <w:lang w:val="en-US"/>
        </w:rPr>
      </w:pPr>
    </w:p>
    <w:p w14:paraId="17768532" w14:textId="4FE84D82" w:rsidR="00075D4A" w:rsidRPr="00C25949" w:rsidRDefault="001270EB" w:rsidP="00343FE2">
      <w:pPr>
        <w:spacing w:after="200" w:line="276" w:lineRule="auto"/>
        <w:contextualSpacing/>
        <w:rPr>
          <w:b/>
          <w:lang w:val="en-US"/>
        </w:rPr>
      </w:pPr>
      <w:r w:rsidRPr="00C25949">
        <w:rPr>
          <w:b/>
          <w:lang w:val="en-US"/>
        </w:rPr>
        <w:t>Q</w:t>
      </w:r>
      <w:r w:rsidR="00343FE2" w:rsidRPr="00C25949">
        <w:rPr>
          <w:b/>
          <w:lang w:val="en-US"/>
        </w:rPr>
        <w:t xml:space="preserve">2. </w:t>
      </w:r>
      <w:r w:rsidR="00FF09B8" w:rsidRPr="00C25949">
        <w:rPr>
          <w:b/>
          <w:lang w:val="en-US"/>
        </w:rPr>
        <w:t xml:space="preserve">Has your country ever undertaken a </w:t>
      </w:r>
      <w:r w:rsidR="00563A6A" w:rsidRPr="00C25949">
        <w:rPr>
          <w:b/>
          <w:lang w:val="en-US"/>
        </w:rPr>
        <w:t>stock-take</w:t>
      </w:r>
      <w:r w:rsidR="00FF09B8" w:rsidRPr="00C25949">
        <w:rPr>
          <w:b/>
          <w:lang w:val="en-US"/>
        </w:rPr>
        <w:t xml:space="preserve"> (physical inventory) of non-financial assets? </w:t>
      </w:r>
      <w:r w:rsidR="004C3397" w:rsidRPr="00C25949">
        <w:rPr>
          <w:b/>
          <w:lang w:val="en-US"/>
        </w:rPr>
        <w:t xml:space="preserve"> </w:t>
      </w:r>
      <w:r w:rsidR="004F5767" w:rsidRPr="00C25949">
        <w:rPr>
          <w:b/>
          <w:lang w:val="en-US"/>
        </w:rPr>
        <w:t xml:space="preserve">Is a </w:t>
      </w:r>
      <w:r w:rsidR="00563A6A" w:rsidRPr="00C25949">
        <w:rPr>
          <w:b/>
          <w:lang w:val="en-US"/>
        </w:rPr>
        <w:t>stock-take</w:t>
      </w:r>
      <w:r w:rsidR="004F5767" w:rsidRPr="00C25949">
        <w:rPr>
          <w:b/>
          <w:lang w:val="en-US"/>
        </w:rPr>
        <w:t xml:space="preserve"> done on a regular basis, say annually?</w:t>
      </w:r>
    </w:p>
    <w:p w14:paraId="38E090F4" w14:textId="77777777" w:rsidR="00F93724" w:rsidRDefault="00F93724" w:rsidP="00E902FC">
      <w:pPr>
        <w:spacing w:after="200" w:line="276" w:lineRule="auto"/>
        <w:contextualSpacing/>
        <w:rPr>
          <w:lang w:val="en-US"/>
        </w:rPr>
      </w:pPr>
    </w:p>
    <w:p w14:paraId="1A25A68D" w14:textId="6F60D9C8" w:rsidR="00A264CA" w:rsidRDefault="00B316E0" w:rsidP="00E902FC">
      <w:pPr>
        <w:spacing w:after="200" w:line="276" w:lineRule="auto"/>
        <w:contextualSpacing/>
        <w:rPr>
          <w:lang w:val="en-US"/>
        </w:rPr>
      </w:pPr>
      <w:r w:rsidRPr="00E902FC">
        <w:rPr>
          <w:lang w:val="en-US"/>
        </w:rPr>
        <w:t xml:space="preserve">There were </w:t>
      </w:r>
      <w:r w:rsidR="00894F0B">
        <w:rPr>
          <w:lang w:val="en-US"/>
        </w:rPr>
        <w:t>twelve</w:t>
      </w:r>
      <w:r w:rsidRPr="00E902FC">
        <w:rPr>
          <w:lang w:val="en-US"/>
        </w:rPr>
        <w:t xml:space="preserve"> responses (100%)</w:t>
      </w:r>
      <w:r w:rsidR="00510BAE">
        <w:rPr>
          <w:lang w:val="en-US"/>
        </w:rPr>
        <w:t xml:space="preserve"> to q</w:t>
      </w:r>
      <w:r w:rsidR="004F5767">
        <w:rPr>
          <w:lang w:val="en-US"/>
        </w:rPr>
        <w:t xml:space="preserve">uestion </w:t>
      </w:r>
      <w:r w:rsidR="00510BAE">
        <w:rPr>
          <w:lang w:val="en-US"/>
        </w:rPr>
        <w:t xml:space="preserve">2. </w:t>
      </w:r>
      <w:r w:rsidR="00F93724">
        <w:rPr>
          <w:lang w:val="en-US"/>
        </w:rPr>
        <w:t xml:space="preserve"> </w:t>
      </w:r>
      <w:r w:rsidR="00894F0B">
        <w:rPr>
          <w:lang w:val="en-US"/>
        </w:rPr>
        <w:t>Ten</w:t>
      </w:r>
      <w:r w:rsidR="00F93724">
        <w:rPr>
          <w:lang w:val="en-US"/>
        </w:rPr>
        <w:t xml:space="preserve"> countries indicated they </w:t>
      </w:r>
      <w:r w:rsidR="004C3397">
        <w:rPr>
          <w:lang w:val="en-US"/>
        </w:rPr>
        <w:t>undertake</w:t>
      </w:r>
      <w:r w:rsidR="00F93724">
        <w:rPr>
          <w:lang w:val="en-US"/>
        </w:rPr>
        <w:t xml:space="preserve"> a </w:t>
      </w:r>
      <w:r w:rsidR="00563A6A">
        <w:rPr>
          <w:lang w:val="en-US"/>
        </w:rPr>
        <w:t>stock-take</w:t>
      </w:r>
      <w:r w:rsidR="00F93724">
        <w:rPr>
          <w:lang w:val="en-US"/>
        </w:rPr>
        <w:t xml:space="preserve"> </w:t>
      </w:r>
      <w:r w:rsidR="004F5767">
        <w:rPr>
          <w:lang w:val="en-US"/>
        </w:rPr>
        <w:t xml:space="preserve">on a regular basis </w:t>
      </w:r>
      <w:r w:rsidR="00F93724">
        <w:rPr>
          <w:lang w:val="en-US"/>
        </w:rPr>
        <w:t xml:space="preserve">and two </w:t>
      </w:r>
      <w:r w:rsidR="00894F0B">
        <w:rPr>
          <w:lang w:val="en-US"/>
        </w:rPr>
        <w:t>indicated that they do</w:t>
      </w:r>
      <w:r w:rsidR="00F93724">
        <w:rPr>
          <w:lang w:val="en-US"/>
        </w:rPr>
        <w:t xml:space="preserve"> not.</w:t>
      </w:r>
    </w:p>
    <w:p w14:paraId="317334C2" w14:textId="77777777" w:rsidR="00A264CA" w:rsidRDefault="00A264CA" w:rsidP="00E902FC">
      <w:pPr>
        <w:spacing w:after="200" w:line="276" w:lineRule="auto"/>
        <w:contextualSpacing/>
        <w:rPr>
          <w:lang w:val="en-US"/>
        </w:rPr>
      </w:pPr>
    </w:p>
    <w:p w14:paraId="2BBBBF89" w14:textId="6A668108" w:rsidR="00F93724" w:rsidRPr="004F5767" w:rsidRDefault="004F5767" w:rsidP="00E902FC">
      <w:pPr>
        <w:spacing w:after="200" w:line="276" w:lineRule="auto"/>
        <w:contextualSpacing/>
        <w:rPr>
          <w:b/>
          <w:i/>
          <w:lang w:val="en-US"/>
        </w:rPr>
      </w:pPr>
      <w:r w:rsidRPr="004F5767">
        <w:rPr>
          <w:b/>
          <w:i/>
          <w:lang w:val="en-US"/>
        </w:rPr>
        <w:t xml:space="preserve">Figure 1 - </w:t>
      </w:r>
      <w:r w:rsidR="00563A6A" w:rsidRPr="004F5767">
        <w:rPr>
          <w:b/>
          <w:i/>
          <w:lang w:val="en-US"/>
        </w:rPr>
        <w:t>Stock</w:t>
      </w:r>
      <w:r w:rsidR="00563A6A">
        <w:rPr>
          <w:b/>
          <w:i/>
          <w:lang w:val="en-US"/>
        </w:rPr>
        <w:t>-</w:t>
      </w:r>
      <w:r w:rsidR="00563A6A" w:rsidRPr="004F5767">
        <w:rPr>
          <w:b/>
          <w:i/>
          <w:lang w:val="en-US"/>
        </w:rPr>
        <w:t>takes</w:t>
      </w:r>
    </w:p>
    <w:p w14:paraId="5CAFA211" w14:textId="77777777" w:rsidR="00F93724" w:rsidRDefault="004D0AB0" w:rsidP="00E902FC">
      <w:pPr>
        <w:spacing w:after="200" w:line="276" w:lineRule="auto"/>
        <w:contextualSpacing/>
        <w:rPr>
          <w:lang w:val="en-US"/>
        </w:rPr>
      </w:pPr>
      <w:bookmarkStart w:id="0" w:name="_GoBack"/>
      <w:r>
        <w:rPr>
          <w:noProof/>
          <w:lang w:val="en-US" w:eastAsia="en-US"/>
        </w:rPr>
        <w:drawing>
          <wp:inline distT="0" distB="0" distL="0" distR="0" wp14:anchorId="4BFFD35A" wp14:editId="45BD14AD">
            <wp:extent cx="4117340" cy="2312035"/>
            <wp:effectExtent l="0" t="0" r="22860" b="247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p w14:paraId="079467C4" w14:textId="77777777" w:rsidR="00F93724" w:rsidRDefault="00F93724" w:rsidP="00F93724">
      <w:pPr>
        <w:spacing w:after="200" w:line="276" w:lineRule="auto"/>
        <w:contextualSpacing/>
        <w:rPr>
          <w:b/>
          <w:u w:val="single"/>
          <w:lang w:val="en-US"/>
        </w:rPr>
      </w:pPr>
    </w:p>
    <w:p w14:paraId="635D852B" w14:textId="77777777" w:rsidR="00F93724" w:rsidRDefault="00F93724" w:rsidP="00F93724">
      <w:pPr>
        <w:spacing w:after="200" w:line="276" w:lineRule="auto"/>
        <w:contextualSpacing/>
        <w:rPr>
          <w:b/>
          <w:u w:val="single"/>
          <w:lang w:val="en-US"/>
        </w:rPr>
      </w:pPr>
    </w:p>
    <w:p w14:paraId="0E0433DF" w14:textId="771F0C03" w:rsidR="00C25949" w:rsidRDefault="004D0AB0" w:rsidP="00F93724">
      <w:pPr>
        <w:spacing w:after="200" w:line="276" w:lineRule="auto"/>
        <w:contextualSpacing/>
        <w:rPr>
          <w:b/>
          <w:lang w:val="en-US"/>
        </w:rPr>
      </w:pPr>
      <w:r w:rsidRPr="00C25949">
        <w:rPr>
          <w:b/>
          <w:lang w:val="en-US"/>
        </w:rPr>
        <w:t>Q</w:t>
      </w:r>
      <w:r w:rsidR="006D283F">
        <w:rPr>
          <w:b/>
          <w:lang w:val="en-US"/>
        </w:rPr>
        <w:t>3</w:t>
      </w:r>
      <w:r w:rsidR="00F93724" w:rsidRPr="00C25949">
        <w:rPr>
          <w:b/>
          <w:lang w:val="en-US"/>
        </w:rPr>
        <w:t xml:space="preserve">. If a </w:t>
      </w:r>
      <w:r w:rsidR="00563A6A" w:rsidRPr="00C25949">
        <w:rPr>
          <w:b/>
          <w:lang w:val="en-US"/>
        </w:rPr>
        <w:t>stock-take</w:t>
      </w:r>
      <w:r w:rsidR="00F93724" w:rsidRPr="00C25949">
        <w:rPr>
          <w:b/>
          <w:lang w:val="en-US"/>
        </w:rPr>
        <w:t xml:space="preserve"> has been undertaken </w:t>
      </w:r>
      <w:r w:rsidRPr="00C25949">
        <w:rPr>
          <w:b/>
          <w:lang w:val="en-US"/>
        </w:rPr>
        <w:t xml:space="preserve">what is the frequency of the </w:t>
      </w:r>
      <w:r w:rsidR="00563A6A" w:rsidRPr="00C25949">
        <w:rPr>
          <w:b/>
          <w:lang w:val="en-US"/>
        </w:rPr>
        <w:t>stock-takes</w:t>
      </w:r>
      <w:r w:rsidR="00894F0B">
        <w:rPr>
          <w:b/>
          <w:lang w:val="en-US"/>
        </w:rPr>
        <w:t>?</w:t>
      </w:r>
      <w:r w:rsidR="004F5767" w:rsidRPr="00C25949">
        <w:rPr>
          <w:b/>
          <w:lang w:val="en-US"/>
        </w:rPr>
        <w:t xml:space="preserve">  </w:t>
      </w:r>
    </w:p>
    <w:p w14:paraId="7B27DF80" w14:textId="77777777" w:rsidR="00C25949" w:rsidRDefault="00C25949" w:rsidP="00F93724">
      <w:pPr>
        <w:spacing w:after="200" w:line="276" w:lineRule="auto"/>
        <w:contextualSpacing/>
        <w:rPr>
          <w:b/>
          <w:lang w:val="en-US"/>
        </w:rPr>
      </w:pPr>
    </w:p>
    <w:p w14:paraId="5969F446" w14:textId="0C36D0B5" w:rsidR="004D0AB0" w:rsidRPr="0014132F" w:rsidRDefault="004D0AB0" w:rsidP="00F93724">
      <w:pPr>
        <w:spacing w:after="200" w:line="276" w:lineRule="auto"/>
        <w:contextualSpacing/>
        <w:rPr>
          <w:b/>
          <w:i/>
          <w:lang w:val="en-US"/>
        </w:rPr>
      </w:pPr>
      <w:r w:rsidRPr="00C25949">
        <w:rPr>
          <w:lang w:val="en-US"/>
        </w:rPr>
        <w:t xml:space="preserve">Of the 10 countries that had undertaken a stock-take, </w:t>
      </w:r>
      <w:r w:rsidR="004C3397" w:rsidRPr="00C25949">
        <w:rPr>
          <w:lang w:val="en-US"/>
        </w:rPr>
        <w:t>five indicated that they</w:t>
      </w:r>
      <w:r w:rsidRPr="00C25949">
        <w:rPr>
          <w:lang w:val="en-US"/>
        </w:rPr>
        <w:t xml:space="preserve"> conduct </w:t>
      </w:r>
      <w:r w:rsidR="004C3397" w:rsidRPr="00C25949">
        <w:rPr>
          <w:lang w:val="en-US"/>
        </w:rPr>
        <w:t xml:space="preserve">an </w:t>
      </w:r>
      <w:r w:rsidRPr="00C25949">
        <w:rPr>
          <w:lang w:val="en-US"/>
        </w:rPr>
        <w:t>annual stock-</w:t>
      </w:r>
      <w:r w:rsidR="004C3397" w:rsidRPr="00C25949">
        <w:rPr>
          <w:lang w:val="en-US"/>
        </w:rPr>
        <w:t>take, one</w:t>
      </w:r>
      <w:r w:rsidRPr="00C25949">
        <w:rPr>
          <w:lang w:val="en-US"/>
        </w:rPr>
        <w:t xml:space="preserve"> countr</w:t>
      </w:r>
      <w:r w:rsidR="004C3397" w:rsidRPr="00C25949">
        <w:rPr>
          <w:lang w:val="en-US"/>
        </w:rPr>
        <w:t>y</w:t>
      </w:r>
      <w:r w:rsidRPr="00C25949">
        <w:rPr>
          <w:lang w:val="en-US"/>
        </w:rPr>
        <w:t xml:space="preserve"> undertake</w:t>
      </w:r>
      <w:r w:rsidR="00894F0B">
        <w:rPr>
          <w:lang w:val="en-US"/>
        </w:rPr>
        <w:t>s</w:t>
      </w:r>
      <w:r w:rsidRPr="00C25949">
        <w:rPr>
          <w:lang w:val="en-US"/>
        </w:rPr>
        <w:t xml:space="preserve"> </w:t>
      </w:r>
      <w:r w:rsidR="004C3397" w:rsidRPr="00C25949">
        <w:rPr>
          <w:lang w:val="en-US"/>
        </w:rPr>
        <w:t xml:space="preserve">a </w:t>
      </w:r>
      <w:r w:rsidRPr="00C25949">
        <w:rPr>
          <w:lang w:val="en-US"/>
        </w:rPr>
        <w:t>stock-</w:t>
      </w:r>
      <w:r w:rsidR="004C3397" w:rsidRPr="00C25949">
        <w:rPr>
          <w:lang w:val="en-US"/>
        </w:rPr>
        <w:t>take</w:t>
      </w:r>
      <w:r w:rsidRPr="00C25949">
        <w:rPr>
          <w:lang w:val="en-US"/>
        </w:rPr>
        <w:t xml:space="preserve"> every two</w:t>
      </w:r>
      <w:r w:rsidR="00B44B36" w:rsidRPr="00C25949">
        <w:rPr>
          <w:lang w:val="en-US"/>
        </w:rPr>
        <w:t>-</w:t>
      </w:r>
      <w:r w:rsidRPr="00C25949">
        <w:rPr>
          <w:lang w:val="en-US"/>
        </w:rPr>
        <w:t>years</w:t>
      </w:r>
      <w:r w:rsidR="004C3397" w:rsidRPr="00C25949">
        <w:rPr>
          <w:lang w:val="en-US"/>
        </w:rPr>
        <w:t>, and four countries did not respond</w:t>
      </w:r>
      <w:r w:rsidRPr="00C25949">
        <w:rPr>
          <w:lang w:val="en-US"/>
        </w:rPr>
        <w:t xml:space="preserve">. </w:t>
      </w:r>
      <w:r w:rsidR="0014132F" w:rsidRPr="00C25949">
        <w:rPr>
          <w:lang w:val="en-US"/>
        </w:rPr>
        <w:t xml:space="preserve">It was assumed for the survey that a nil response meant annual stock-takes, </w:t>
      </w:r>
      <w:r w:rsidR="0014132F" w:rsidRPr="00C25949">
        <w:rPr>
          <w:b/>
          <w:i/>
          <w:lang w:val="en-US"/>
        </w:rPr>
        <w:t>however, this assumption</w:t>
      </w:r>
      <w:r w:rsidR="0014132F" w:rsidRPr="0014132F">
        <w:rPr>
          <w:b/>
          <w:i/>
          <w:lang w:val="en-US"/>
        </w:rPr>
        <w:t xml:space="preserve"> should be tested with the non-responding countries.  </w:t>
      </w:r>
    </w:p>
    <w:p w14:paraId="50CD0CA7" w14:textId="77777777" w:rsidR="004D0AB0" w:rsidRDefault="004D0AB0" w:rsidP="00F93724">
      <w:pPr>
        <w:spacing w:after="200" w:line="276" w:lineRule="auto"/>
        <w:contextualSpacing/>
        <w:rPr>
          <w:b/>
          <w:u w:val="single"/>
          <w:lang w:val="en-US"/>
        </w:rPr>
      </w:pPr>
    </w:p>
    <w:p w14:paraId="656B39BC" w14:textId="43AC68F0" w:rsidR="004D0AB0" w:rsidRPr="004F5767" w:rsidRDefault="004F5767" w:rsidP="00F93724">
      <w:pPr>
        <w:spacing w:after="200" w:line="276" w:lineRule="auto"/>
        <w:contextualSpacing/>
        <w:rPr>
          <w:b/>
          <w:i/>
          <w:lang w:val="en-US"/>
        </w:rPr>
      </w:pPr>
      <w:r w:rsidRPr="004F5767">
        <w:rPr>
          <w:b/>
          <w:i/>
          <w:lang w:val="en-US"/>
        </w:rPr>
        <w:t>Figure 2 – Frequency of Stock-take</w:t>
      </w:r>
    </w:p>
    <w:p w14:paraId="1E39E22E" w14:textId="26B6B323" w:rsidR="004D0AB0" w:rsidRDefault="004D0AB0" w:rsidP="00F93724">
      <w:pPr>
        <w:spacing w:after="200" w:line="276" w:lineRule="auto"/>
        <w:contextualSpacing/>
        <w:rPr>
          <w:b/>
          <w:u w:val="single"/>
          <w:lang w:val="en-US"/>
        </w:rPr>
      </w:pPr>
      <w:r>
        <w:rPr>
          <w:noProof/>
          <w:lang w:val="en-US" w:eastAsia="en-US"/>
        </w:rPr>
        <w:drawing>
          <wp:inline distT="0" distB="0" distL="0" distR="0" wp14:anchorId="536DCA33" wp14:editId="1AC43F61">
            <wp:extent cx="3888740" cy="2223135"/>
            <wp:effectExtent l="0" t="0" r="22860" b="374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4084CB" w14:textId="77777777" w:rsidR="004F5767" w:rsidRDefault="004F5767" w:rsidP="00F93724">
      <w:pPr>
        <w:spacing w:after="200" w:line="276" w:lineRule="auto"/>
        <w:contextualSpacing/>
        <w:rPr>
          <w:b/>
          <w:u w:val="single"/>
          <w:lang w:val="en-US"/>
        </w:rPr>
      </w:pPr>
    </w:p>
    <w:p w14:paraId="40D0A8ED" w14:textId="54B98875" w:rsidR="00B54505" w:rsidRDefault="00B54505" w:rsidP="00F93724">
      <w:pPr>
        <w:spacing w:after="200" w:line="276" w:lineRule="auto"/>
        <w:contextualSpacing/>
        <w:rPr>
          <w:b/>
          <w:u w:val="single"/>
          <w:lang w:val="en-US"/>
        </w:rPr>
      </w:pPr>
      <w:r w:rsidRPr="00B54097">
        <w:rPr>
          <w:b/>
          <w:lang w:val="en-US"/>
        </w:rPr>
        <w:t xml:space="preserve">Figure </w:t>
      </w:r>
      <w:r w:rsidR="004F5767" w:rsidRPr="00B54097">
        <w:rPr>
          <w:b/>
          <w:lang w:val="en-US"/>
        </w:rPr>
        <w:t>3</w:t>
      </w:r>
      <w:r w:rsidRPr="00B54097">
        <w:rPr>
          <w:b/>
          <w:lang w:val="en-US"/>
        </w:rPr>
        <w:t xml:space="preserve"> shows the responses to question </w:t>
      </w:r>
      <w:r w:rsidR="006D283F">
        <w:rPr>
          <w:b/>
          <w:lang w:val="en-US"/>
        </w:rPr>
        <w:t>4</w:t>
      </w:r>
      <w:r w:rsidRPr="00B54097">
        <w:rPr>
          <w:b/>
          <w:lang w:val="en-US"/>
        </w:rPr>
        <w:t xml:space="preserve"> regarding how</w:t>
      </w:r>
      <w:r w:rsidRPr="00B54097">
        <w:rPr>
          <w:rFonts w:ascii="Microsoft Sans Serif" w:hAnsi="Microsoft Sans Serif" w:cs="Microsoft Sans Serif"/>
          <w:sz w:val="20"/>
          <w:szCs w:val="20"/>
          <w:lang w:val="en-AU" w:eastAsia="en-US"/>
        </w:rPr>
        <w:t xml:space="preserve"> the</w:t>
      </w:r>
      <w:r w:rsidR="00B54097">
        <w:rPr>
          <w:rFonts w:ascii="Microsoft Sans Serif" w:hAnsi="Microsoft Sans Serif" w:cs="Microsoft Sans Serif"/>
          <w:sz w:val="20"/>
          <w:szCs w:val="20"/>
          <w:lang w:val="en-AU" w:eastAsia="en-US"/>
        </w:rPr>
        <w:t xml:space="preserve"> stocktake has been undertaken.</w:t>
      </w:r>
      <w:r w:rsidR="004173DB">
        <w:rPr>
          <w:rFonts w:ascii="Microsoft Sans Serif" w:hAnsi="Microsoft Sans Serif" w:cs="Microsoft Sans Serif"/>
          <w:sz w:val="20"/>
          <w:szCs w:val="20"/>
          <w:lang w:val="en-AU" w:eastAsia="en-US"/>
        </w:rPr>
        <w:t xml:space="preserve"> Nine of the ten countries</w:t>
      </w:r>
      <w:r w:rsidR="00894F0B">
        <w:rPr>
          <w:rStyle w:val="FootnoteReference"/>
          <w:rFonts w:ascii="Microsoft Sans Serif" w:hAnsi="Microsoft Sans Serif" w:cs="Microsoft Sans Serif"/>
          <w:sz w:val="20"/>
          <w:szCs w:val="20"/>
          <w:lang w:val="en-AU" w:eastAsia="en-US"/>
        </w:rPr>
        <w:footnoteReference w:id="1"/>
      </w:r>
      <w:r w:rsidR="004173DB">
        <w:rPr>
          <w:rFonts w:ascii="Microsoft Sans Serif" w:hAnsi="Microsoft Sans Serif" w:cs="Microsoft Sans Serif"/>
          <w:sz w:val="20"/>
          <w:szCs w:val="20"/>
          <w:lang w:val="en-AU" w:eastAsia="en-US"/>
        </w:rPr>
        <w:t xml:space="preserve"> that undertake a stock-take compare physical assets to asset records. Eight of the </w:t>
      </w:r>
      <w:r w:rsidR="00894F0B">
        <w:rPr>
          <w:rFonts w:ascii="Microsoft Sans Serif" w:hAnsi="Microsoft Sans Serif" w:cs="Microsoft Sans Serif"/>
          <w:sz w:val="20"/>
          <w:szCs w:val="20"/>
          <w:lang w:val="en-AU" w:eastAsia="en-US"/>
        </w:rPr>
        <w:t>nine</w:t>
      </w:r>
      <w:r w:rsidR="00894F0B">
        <w:rPr>
          <w:rStyle w:val="FootnoteReference"/>
          <w:rFonts w:ascii="Microsoft Sans Serif" w:hAnsi="Microsoft Sans Serif" w:cs="Microsoft Sans Serif"/>
          <w:sz w:val="20"/>
          <w:szCs w:val="20"/>
          <w:lang w:val="en-AU" w:eastAsia="en-US"/>
        </w:rPr>
        <w:footnoteReference w:id="2"/>
      </w:r>
      <w:r w:rsidR="004173DB">
        <w:rPr>
          <w:rFonts w:ascii="Microsoft Sans Serif" w:hAnsi="Microsoft Sans Serif" w:cs="Microsoft Sans Serif"/>
          <w:sz w:val="20"/>
          <w:szCs w:val="20"/>
          <w:lang w:val="en-AU" w:eastAsia="en-US"/>
        </w:rPr>
        <w:t xml:space="preserve"> countries when undertaking a stock-take identify the asset by some unique number or make, record the physical location of the assets, and record the condition of each asset. </w:t>
      </w:r>
    </w:p>
    <w:p w14:paraId="6E262DFE" w14:textId="77777777" w:rsidR="00B54505" w:rsidRDefault="00B54505" w:rsidP="00F93724">
      <w:pPr>
        <w:spacing w:after="200" w:line="276" w:lineRule="auto"/>
        <w:contextualSpacing/>
        <w:rPr>
          <w:b/>
          <w:lang w:val="en-US"/>
        </w:rPr>
      </w:pPr>
    </w:p>
    <w:p w14:paraId="49BF49B5" w14:textId="3F5C3135" w:rsidR="00B54505" w:rsidRPr="004F5767" w:rsidRDefault="004F5767" w:rsidP="00F93724">
      <w:pPr>
        <w:spacing w:after="200" w:line="276" w:lineRule="auto"/>
        <w:contextualSpacing/>
        <w:rPr>
          <w:b/>
          <w:i/>
          <w:lang w:val="en-US"/>
        </w:rPr>
      </w:pPr>
      <w:r w:rsidRPr="004F5767">
        <w:rPr>
          <w:b/>
          <w:i/>
          <w:lang w:val="en-US"/>
        </w:rPr>
        <w:t>Figure 3 – How the stock-take is undertaken</w:t>
      </w:r>
    </w:p>
    <w:p w14:paraId="4A7B75E7" w14:textId="39E470CF" w:rsidR="00B54505" w:rsidRDefault="00B54505" w:rsidP="00F93724">
      <w:pPr>
        <w:spacing w:after="200" w:line="276" w:lineRule="auto"/>
        <w:contextualSpacing/>
        <w:rPr>
          <w:b/>
          <w:lang w:val="en-US"/>
        </w:rPr>
      </w:pPr>
      <w:r>
        <w:rPr>
          <w:noProof/>
          <w:lang w:val="en-US" w:eastAsia="en-US"/>
        </w:rPr>
        <w:drawing>
          <wp:inline distT="0" distB="0" distL="0" distR="0" wp14:anchorId="0BC89243" wp14:editId="289FDEBF">
            <wp:extent cx="3543300" cy="2489200"/>
            <wp:effectExtent l="0" t="0" r="1270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66EDE4" w14:textId="77777777" w:rsidR="00B54505" w:rsidRDefault="00B54505" w:rsidP="00F93724">
      <w:pPr>
        <w:spacing w:after="200" w:line="276" w:lineRule="auto"/>
        <w:contextualSpacing/>
        <w:rPr>
          <w:b/>
          <w:lang w:val="en-US"/>
        </w:rPr>
      </w:pPr>
    </w:p>
    <w:p w14:paraId="59E18D44" w14:textId="454AE815" w:rsidR="00B54505" w:rsidRDefault="00B44B36" w:rsidP="00F93724">
      <w:pPr>
        <w:spacing w:after="200" w:line="276" w:lineRule="auto"/>
        <w:contextualSpacing/>
        <w:rPr>
          <w:lang w:val="en-US"/>
        </w:rPr>
      </w:pPr>
      <w:r w:rsidRPr="00B44B36">
        <w:rPr>
          <w:lang w:val="en-US"/>
        </w:rPr>
        <w:t xml:space="preserve">The final questions regarding asset condition would </w:t>
      </w:r>
      <w:r w:rsidR="00894F0B">
        <w:rPr>
          <w:lang w:val="en-US"/>
        </w:rPr>
        <w:t xml:space="preserve">be one </w:t>
      </w:r>
      <w:r w:rsidRPr="00B44B36">
        <w:rPr>
          <w:lang w:val="en-US"/>
        </w:rPr>
        <w:t>determin</w:t>
      </w:r>
      <w:r w:rsidR="00894F0B">
        <w:rPr>
          <w:lang w:val="en-US"/>
        </w:rPr>
        <w:t>ing factor</w:t>
      </w:r>
      <w:r w:rsidRPr="00B44B36">
        <w:rPr>
          <w:lang w:val="en-US"/>
        </w:rPr>
        <w:t xml:space="preserve"> whether an asset would need to be </w:t>
      </w:r>
      <w:r w:rsidR="00894F0B">
        <w:rPr>
          <w:lang w:val="en-US"/>
        </w:rPr>
        <w:t>tested</w:t>
      </w:r>
      <w:r w:rsidRPr="00B44B36">
        <w:rPr>
          <w:lang w:val="en-US"/>
        </w:rPr>
        <w:t xml:space="preserve"> for impairment.  </w:t>
      </w:r>
    </w:p>
    <w:p w14:paraId="6A5817F9" w14:textId="77777777" w:rsidR="00B44B36" w:rsidRPr="00B44B36" w:rsidRDefault="00B44B36" w:rsidP="00F93724">
      <w:pPr>
        <w:spacing w:after="200" w:line="276" w:lineRule="auto"/>
        <w:contextualSpacing/>
        <w:rPr>
          <w:lang w:val="en-US"/>
        </w:rPr>
      </w:pPr>
    </w:p>
    <w:p w14:paraId="734E4BBC" w14:textId="6A7CC6EC" w:rsidR="00F93724" w:rsidRPr="00C834A8" w:rsidRDefault="00B54505" w:rsidP="00F93724">
      <w:pPr>
        <w:spacing w:after="200" w:line="276" w:lineRule="auto"/>
        <w:contextualSpacing/>
        <w:rPr>
          <w:lang w:val="en-US"/>
        </w:rPr>
      </w:pPr>
      <w:r>
        <w:rPr>
          <w:b/>
          <w:lang w:val="en-US"/>
        </w:rPr>
        <w:t>Q</w:t>
      </w:r>
      <w:r w:rsidR="006D283F">
        <w:rPr>
          <w:b/>
          <w:lang w:val="en-US"/>
        </w:rPr>
        <w:t>5</w:t>
      </w:r>
      <w:r w:rsidR="00F93724" w:rsidRPr="00B54505">
        <w:rPr>
          <w:b/>
          <w:lang w:val="en-US"/>
        </w:rPr>
        <w:t>. What are some of the common issues which arose as a result of the stock</w:t>
      </w:r>
      <w:r w:rsidRPr="00B54505">
        <w:rPr>
          <w:b/>
          <w:lang w:val="en-US"/>
        </w:rPr>
        <w:t>-</w:t>
      </w:r>
      <w:r w:rsidR="00F93724" w:rsidRPr="00B54505">
        <w:rPr>
          <w:b/>
          <w:lang w:val="en-US"/>
        </w:rPr>
        <w:t>take?</w:t>
      </w:r>
      <w:r w:rsidR="00C834A8">
        <w:rPr>
          <w:b/>
          <w:lang w:val="en-US"/>
        </w:rPr>
        <w:t xml:space="preserve"> </w:t>
      </w:r>
      <w:r w:rsidR="00C834A8" w:rsidRPr="00C834A8">
        <w:rPr>
          <w:lang w:val="en-US"/>
        </w:rPr>
        <w:t>Th</w:t>
      </w:r>
      <w:r w:rsidR="0014132F">
        <w:rPr>
          <w:lang w:val="en-US"/>
        </w:rPr>
        <w:t>is</w:t>
      </w:r>
      <w:r w:rsidR="00C834A8" w:rsidRPr="00C834A8">
        <w:rPr>
          <w:lang w:val="en-US"/>
        </w:rPr>
        <w:t xml:space="preserve"> </w:t>
      </w:r>
      <w:r w:rsidR="0014132F">
        <w:rPr>
          <w:lang w:val="en-US"/>
        </w:rPr>
        <w:t xml:space="preserve">was an open question to test whether there were major issues that countries would like advice on, and for which clear policies should be developed. The </w:t>
      </w:r>
      <w:r w:rsidR="00C834A8">
        <w:rPr>
          <w:lang w:val="en-US"/>
        </w:rPr>
        <w:t xml:space="preserve">issues </w:t>
      </w:r>
      <w:r w:rsidR="00C834A8" w:rsidRPr="00C834A8">
        <w:rPr>
          <w:lang w:val="en-US"/>
        </w:rPr>
        <w:t>have been grouped by the specific subject area below</w:t>
      </w:r>
      <w:r w:rsidR="0014132F">
        <w:rPr>
          <w:lang w:val="en-US"/>
        </w:rPr>
        <w:t>:</w:t>
      </w:r>
      <w:r w:rsidR="00C834A8" w:rsidRPr="00C834A8">
        <w:rPr>
          <w:lang w:val="en-US"/>
        </w:rPr>
        <w:t xml:space="preserve"> </w:t>
      </w:r>
    </w:p>
    <w:p w14:paraId="1DBC6283" w14:textId="77777777" w:rsidR="00A264CA" w:rsidRDefault="00A264CA" w:rsidP="00A264CA">
      <w:pPr>
        <w:rPr>
          <w:u w:val="single"/>
          <w:lang w:val="en-US"/>
        </w:rPr>
      </w:pPr>
    </w:p>
    <w:p w14:paraId="678FC0E2" w14:textId="1B44867A" w:rsidR="00C834A8" w:rsidRPr="00C834A8" w:rsidRDefault="00C834A8" w:rsidP="00A264CA">
      <w:pPr>
        <w:rPr>
          <w:b/>
          <w:u w:val="single"/>
          <w:lang w:val="en-US"/>
        </w:rPr>
      </w:pPr>
      <w:r w:rsidRPr="00C834A8">
        <w:rPr>
          <w:b/>
          <w:u w:val="single"/>
          <w:lang w:val="en-US"/>
        </w:rPr>
        <w:t>Military Equ</w:t>
      </w:r>
      <w:r>
        <w:rPr>
          <w:b/>
          <w:u w:val="single"/>
          <w:lang w:val="en-US"/>
        </w:rPr>
        <w:t>i</w:t>
      </w:r>
      <w:r w:rsidRPr="00C834A8">
        <w:rPr>
          <w:b/>
          <w:u w:val="single"/>
          <w:lang w:val="en-US"/>
        </w:rPr>
        <w:t>pment</w:t>
      </w:r>
    </w:p>
    <w:p w14:paraId="58023A5A" w14:textId="77777777" w:rsidR="00C834A8" w:rsidRDefault="00C834A8" w:rsidP="00A264CA">
      <w:pPr>
        <w:rPr>
          <w:u w:val="single"/>
          <w:lang w:val="en-US"/>
        </w:rPr>
      </w:pPr>
    </w:p>
    <w:p w14:paraId="762CF4F7" w14:textId="4F1812F7" w:rsidR="00B54505" w:rsidRPr="00C834A8" w:rsidRDefault="00B54505" w:rsidP="002501C1">
      <w:pPr>
        <w:numPr>
          <w:ilvl w:val="0"/>
          <w:numId w:val="1"/>
        </w:numPr>
        <w:rPr>
          <w:lang w:val="en-AU"/>
        </w:rPr>
      </w:pPr>
      <w:r w:rsidRPr="00B54505">
        <w:rPr>
          <w:lang w:val="en-US"/>
        </w:rPr>
        <w:t>Accounting method for military equipment, modernization and write-off</w:t>
      </w:r>
      <w:r w:rsidR="0014132F">
        <w:rPr>
          <w:lang w:val="en-US"/>
        </w:rPr>
        <w:t>.</w:t>
      </w:r>
      <w:r w:rsidRPr="00B54505">
        <w:rPr>
          <w:lang w:val="en-US"/>
        </w:rPr>
        <w:t xml:space="preserve"> </w:t>
      </w:r>
    </w:p>
    <w:p w14:paraId="2EE7A4ED" w14:textId="77777777" w:rsidR="00C834A8" w:rsidRDefault="00C834A8" w:rsidP="00C834A8">
      <w:pPr>
        <w:rPr>
          <w:lang w:val="en-US"/>
        </w:rPr>
      </w:pPr>
    </w:p>
    <w:p w14:paraId="07AEF131" w14:textId="31705343" w:rsidR="00C834A8" w:rsidRPr="00C834A8" w:rsidRDefault="00C834A8" w:rsidP="00C834A8">
      <w:pPr>
        <w:rPr>
          <w:b/>
          <w:lang w:val="en-US"/>
        </w:rPr>
      </w:pPr>
      <w:r w:rsidRPr="00C834A8">
        <w:rPr>
          <w:b/>
          <w:lang w:val="en-US"/>
        </w:rPr>
        <w:t>Obsolete assets</w:t>
      </w:r>
    </w:p>
    <w:p w14:paraId="3D36F9F2" w14:textId="77777777" w:rsidR="00C834A8" w:rsidRPr="00B54505" w:rsidRDefault="00C834A8" w:rsidP="00C834A8">
      <w:pPr>
        <w:rPr>
          <w:lang w:val="en-AU"/>
        </w:rPr>
      </w:pPr>
    </w:p>
    <w:p w14:paraId="35BEB0A0" w14:textId="30831A9C" w:rsidR="00B54505" w:rsidRPr="00B54505" w:rsidRDefault="00B54505" w:rsidP="002501C1">
      <w:pPr>
        <w:numPr>
          <w:ilvl w:val="0"/>
          <w:numId w:val="1"/>
        </w:numPr>
        <w:rPr>
          <w:lang w:val="en-AU"/>
        </w:rPr>
      </w:pPr>
      <w:r w:rsidRPr="00B54505">
        <w:rPr>
          <w:lang w:val="en-US"/>
        </w:rPr>
        <w:t>Whether to write off and dispose of obsolete assets</w:t>
      </w:r>
      <w:r w:rsidR="0014132F">
        <w:rPr>
          <w:lang w:val="en-US"/>
        </w:rPr>
        <w:t>.</w:t>
      </w:r>
      <w:r w:rsidRPr="00B54505">
        <w:rPr>
          <w:lang w:val="en-US"/>
        </w:rPr>
        <w:t xml:space="preserve"> </w:t>
      </w:r>
    </w:p>
    <w:p w14:paraId="6F8ABE91" w14:textId="400954EC" w:rsidR="00B54505" w:rsidRPr="00C834A8" w:rsidRDefault="00B54505" w:rsidP="002501C1">
      <w:pPr>
        <w:numPr>
          <w:ilvl w:val="0"/>
          <w:numId w:val="1"/>
        </w:numPr>
        <w:rPr>
          <w:lang w:val="en-AU"/>
        </w:rPr>
      </w:pPr>
      <w:r w:rsidRPr="00B54505">
        <w:rPr>
          <w:lang w:val="en-US"/>
        </w:rPr>
        <w:t xml:space="preserve">Appropriate action for (assets) valuables which are not </w:t>
      </w:r>
      <w:r w:rsidR="0014132F">
        <w:rPr>
          <w:lang w:val="en-US"/>
        </w:rPr>
        <w:t>utilized.</w:t>
      </w:r>
    </w:p>
    <w:p w14:paraId="410BC936" w14:textId="77777777" w:rsidR="0014132F" w:rsidRDefault="0014132F" w:rsidP="00C834A8">
      <w:pPr>
        <w:jc w:val="both"/>
        <w:rPr>
          <w:b/>
          <w:lang w:val="en-AU"/>
        </w:rPr>
      </w:pPr>
    </w:p>
    <w:p w14:paraId="011F9322" w14:textId="407DA3D4" w:rsidR="00C834A8" w:rsidRDefault="00C834A8" w:rsidP="00C834A8">
      <w:pPr>
        <w:jc w:val="both"/>
        <w:rPr>
          <w:b/>
          <w:lang w:val="en-AU"/>
        </w:rPr>
      </w:pPr>
      <w:r w:rsidRPr="00C834A8">
        <w:rPr>
          <w:b/>
          <w:lang w:val="en-AU"/>
        </w:rPr>
        <w:t>Adjustments to depreciation of assets</w:t>
      </w:r>
    </w:p>
    <w:p w14:paraId="2F02C24D" w14:textId="77777777" w:rsidR="00C834A8" w:rsidRPr="00C834A8" w:rsidRDefault="00C834A8" w:rsidP="00C834A8">
      <w:pPr>
        <w:jc w:val="both"/>
        <w:rPr>
          <w:b/>
          <w:lang w:val="en-AU"/>
        </w:rPr>
      </w:pPr>
    </w:p>
    <w:p w14:paraId="38BDB5B7" w14:textId="4942A264" w:rsidR="00B54505" w:rsidRPr="00B54505" w:rsidRDefault="00B54505" w:rsidP="002501C1">
      <w:pPr>
        <w:numPr>
          <w:ilvl w:val="0"/>
          <w:numId w:val="1"/>
        </w:numPr>
        <w:rPr>
          <w:lang w:val="en-AU"/>
        </w:rPr>
      </w:pPr>
      <w:r w:rsidRPr="00B54505">
        <w:rPr>
          <w:lang w:val="en-US"/>
        </w:rPr>
        <w:t>Using assets where their value has been depreciated</w:t>
      </w:r>
      <w:r w:rsidR="0014132F">
        <w:rPr>
          <w:lang w:val="en-US"/>
        </w:rPr>
        <w:t>.</w:t>
      </w:r>
      <w:r w:rsidRPr="00B54505">
        <w:rPr>
          <w:lang w:val="en-US"/>
        </w:rPr>
        <w:t xml:space="preserve"> </w:t>
      </w:r>
    </w:p>
    <w:p w14:paraId="18203892" w14:textId="436A381C" w:rsidR="00B54505" w:rsidRPr="00C834A8" w:rsidRDefault="00B54505" w:rsidP="002501C1">
      <w:pPr>
        <w:numPr>
          <w:ilvl w:val="0"/>
          <w:numId w:val="1"/>
        </w:numPr>
        <w:rPr>
          <w:lang w:val="en-AU"/>
        </w:rPr>
      </w:pPr>
      <w:r w:rsidRPr="00B54505">
        <w:rPr>
          <w:lang w:val="en-US"/>
        </w:rPr>
        <w:t xml:space="preserve">What to do with an asset, which is 100% depreciated, but it is still suitable for use? Do we need to revalue this asset and if so what method of revaluation should apply? </w:t>
      </w:r>
    </w:p>
    <w:p w14:paraId="337AF252" w14:textId="77777777" w:rsidR="00C834A8" w:rsidRPr="00C834A8" w:rsidRDefault="00C834A8" w:rsidP="00C834A8">
      <w:pPr>
        <w:ind w:left="720"/>
        <w:rPr>
          <w:lang w:val="en-AU"/>
        </w:rPr>
      </w:pPr>
    </w:p>
    <w:p w14:paraId="17E4C5FD" w14:textId="6AB0C1EB" w:rsidR="00C834A8" w:rsidRPr="00C834A8" w:rsidRDefault="00C834A8" w:rsidP="00C834A8">
      <w:pPr>
        <w:rPr>
          <w:b/>
          <w:lang w:val="en-US"/>
        </w:rPr>
      </w:pPr>
      <w:r w:rsidRPr="00C834A8">
        <w:rPr>
          <w:b/>
          <w:lang w:val="en-US"/>
        </w:rPr>
        <w:t>Establishing Asset thresholds for low value Assets</w:t>
      </w:r>
    </w:p>
    <w:p w14:paraId="1A0C5088" w14:textId="77777777" w:rsidR="00C834A8" w:rsidRPr="00B54505" w:rsidRDefault="00C834A8" w:rsidP="00C834A8">
      <w:pPr>
        <w:rPr>
          <w:lang w:val="en-AU"/>
        </w:rPr>
      </w:pPr>
    </w:p>
    <w:p w14:paraId="61C4DA94" w14:textId="77777777" w:rsidR="00C834A8" w:rsidRPr="00B54505" w:rsidRDefault="00C834A8" w:rsidP="002501C1">
      <w:pPr>
        <w:numPr>
          <w:ilvl w:val="0"/>
          <w:numId w:val="1"/>
        </w:numPr>
        <w:rPr>
          <w:lang w:val="en-AU"/>
        </w:rPr>
      </w:pPr>
      <w:r w:rsidRPr="00B54505">
        <w:rPr>
          <w:lang w:val="en-US"/>
        </w:rPr>
        <w:t xml:space="preserve">How to account for current assets (low value assets)? </w:t>
      </w:r>
    </w:p>
    <w:p w14:paraId="7FA399FC" w14:textId="77777777" w:rsidR="00B8097A" w:rsidRPr="00B54505" w:rsidRDefault="00B8097A">
      <w:pPr>
        <w:rPr>
          <w:lang w:val="en-US"/>
        </w:rPr>
      </w:pPr>
    </w:p>
    <w:p w14:paraId="4DA3B15D" w14:textId="17BBE61F" w:rsidR="00510BAE" w:rsidRPr="00B8097A" w:rsidRDefault="00B8097A" w:rsidP="00A264CA">
      <w:pPr>
        <w:rPr>
          <w:i/>
          <w:lang w:val="en-US"/>
        </w:rPr>
      </w:pPr>
      <w:r w:rsidRPr="00B8097A">
        <w:rPr>
          <w:i/>
          <w:lang w:val="en-US"/>
        </w:rPr>
        <w:t>Each of the</w:t>
      </w:r>
      <w:r w:rsidR="00B54505" w:rsidRPr="00B8097A">
        <w:rPr>
          <w:i/>
          <w:lang w:val="en-US"/>
        </w:rPr>
        <w:t xml:space="preserve"> issues</w:t>
      </w:r>
      <w:r w:rsidR="004F5767" w:rsidRPr="00B8097A">
        <w:rPr>
          <w:i/>
          <w:lang w:val="en-US"/>
        </w:rPr>
        <w:t xml:space="preserve"> </w:t>
      </w:r>
      <w:r w:rsidRPr="00B8097A">
        <w:rPr>
          <w:i/>
          <w:lang w:val="en-US"/>
        </w:rPr>
        <w:t xml:space="preserve">raised by respondents </w:t>
      </w:r>
      <w:r w:rsidR="004F5767" w:rsidRPr="00B8097A">
        <w:rPr>
          <w:i/>
          <w:lang w:val="en-US"/>
        </w:rPr>
        <w:t>is</w:t>
      </w:r>
      <w:r w:rsidR="00B54505" w:rsidRPr="00B8097A">
        <w:rPr>
          <w:i/>
          <w:lang w:val="en-US"/>
        </w:rPr>
        <w:t xml:space="preserve"> important and should be directly addressed in any accounting policy document d</w:t>
      </w:r>
      <w:r w:rsidR="004F5767" w:rsidRPr="00B8097A">
        <w:rPr>
          <w:i/>
          <w:lang w:val="en-US"/>
        </w:rPr>
        <w:t>eveloped by the Thematic Group.</w:t>
      </w:r>
      <w:r w:rsidR="00F258CC" w:rsidRPr="00B8097A">
        <w:rPr>
          <w:i/>
          <w:lang w:val="en-US"/>
        </w:rPr>
        <w:t xml:space="preserve"> The questions also suggest that in many countries, while </w:t>
      </w:r>
      <w:r w:rsidR="00563A6A" w:rsidRPr="00B8097A">
        <w:rPr>
          <w:i/>
          <w:lang w:val="en-US"/>
        </w:rPr>
        <w:t>stock-takes</w:t>
      </w:r>
      <w:r w:rsidR="00F258CC" w:rsidRPr="00B8097A">
        <w:rPr>
          <w:i/>
          <w:lang w:val="en-US"/>
        </w:rPr>
        <w:t xml:space="preserve"> are undertaken</w:t>
      </w:r>
      <w:r w:rsidR="0014132F">
        <w:rPr>
          <w:i/>
          <w:lang w:val="en-US"/>
        </w:rPr>
        <w:t>, there may</w:t>
      </w:r>
      <w:r w:rsidR="00F258CC" w:rsidRPr="00B8097A">
        <w:rPr>
          <w:i/>
          <w:lang w:val="en-US"/>
        </w:rPr>
        <w:t xml:space="preserve">be significant assets management and accounting issues in using this information for the purposes of deriving information for financial reporting purposes.  </w:t>
      </w:r>
      <w:r w:rsidR="00C834A8">
        <w:rPr>
          <w:i/>
          <w:lang w:val="en-US"/>
        </w:rPr>
        <w:t>For example, it is expected that in some cases, the useful life of assets will be different to the depreciation rates which are being applied. This is the purpose of revaluation and impairment reviews</w:t>
      </w:r>
      <w:r w:rsidR="0014132F">
        <w:rPr>
          <w:i/>
          <w:lang w:val="en-US"/>
        </w:rPr>
        <w:t xml:space="preserve"> -</w:t>
      </w:r>
      <w:r w:rsidR="00C834A8">
        <w:rPr>
          <w:i/>
          <w:lang w:val="en-US"/>
        </w:rPr>
        <w:t xml:space="preserve"> to ensure that adjustments are made to these rates so that the depreciation expense applied over the useful life of the asset largely matches its actual us</w:t>
      </w:r>
      <w:r w:rsidR="0014132F">
        <w:rPr>
          <w:i/>
          <w:lang w:val="en-US"/>
        </w:rPr>
        <w:t>age</w:t>
      </w:r>
      <w:r w:rsidR="00C834A8">
        <w:rPr>
          <w:i/>
          <w:lang w:val="en-US"/>
        </w:rPr>
        <w:t xml:space="preserve">. </w:t>
      </w:r>
    </w:p>
    <w:p w14:paraId="6D88D5C5" w14:textId="77777777" w:rsidR="004F5767" w:rsidRDefault="004F5767" w:rsidP="00A264CA">
      <w:pPr>
        <w:rPr>
          <w:lang w:val="en-US"/>
        </w:rPr>
      </w:pPr>
    </w:p>
    <w:p w14:paraId="59B435EC" w14:textId="77777777" w:rsidR="00B8097A" w:rsidRDefault="00B8097A" w:rsidP="00A264CA">
      <w:pPr>
        <w:rPr>
          <w:lang w:val="en-US"/>
        </w:rPr>
      </w:pPr>
    </w:p>
    <w:p w14:paraId="718585A5" w14:textId="45385D48" w:rsidR="00B8097A" w:rsidRPr="00B8097A" w:rsidRDefault="00B8097A" w:rsidP="00A264CA">
      <w:pPr>
        <w:rPr>
          <w:b/>
          <w:sz w:val="28"/>
          <w:szCs w:val="28"/>
          <w:lang w:val="en-US"/>
        </w:rPr>
      </w:pPr>
      <w:r w:rsidRPr="00B8097A">
        <w:rPr>
          <w:b/>
          <w:sz w:val="28"/>
          <w:szCs w:val="28"/>
          <w:lang w:val="en-US"/>
        </w:rPr>
        <w:t>Classes of Non-Financial Assets</w:t>
      </w:r>
    </w:p>
    <w:p w14:paraId="1E5F6475" w14:textId="77777777" w:rsidR="00B8097A" w:rsidRDefault="00B8097A" w:rsidP="00A264CA">
      <w:pPr>
        <w:rPr>
          <w:lang w:val="en-US"/>
        </w:rPr>
      </w:pPr>
    </w:p>
    <w:p w14:paraId="0DE228B0" w14:textId="6512203A" w:rsidR="00C834A8" w:rsidRPr="00C834A8" w:rsidRDefault="00C834A8" w:rsidP="00A264CA">
      <w:pPr>
        <w:rPr>
          <w:i/>
          <w:lang w:val="en-US"/>
        </w:rPr>
      </w:pPr>
      <w:r w:rsidRPr="00C834A8">
        <w:rPr>
          <w:i/>
          <w:lang w:val="en-US"/>
        </w:rPr>
        <w:t xml:space="preserve">The purpose of this section was to determine firstly whether countries had already established clear classes of assets, and then to assess whether a degree of consistency exists across the countries which could provide a useful template for a policy and procedures manual. </w:t>
      </w:r>
    </w:p>
    <w:p w14:paraId="4C9D930D" w14:textId="77777777" w:rsidR="00B8097A" w:rsidRPr="004F5767" w:rsidRDefault="00B8097A" w:rsidP="00A264CA">
      <w:pPr>
        <w:rPr>
          <w:lang w:val="en-US"/>
        </w:rPr>
      </w:pPr>
    </w:p>
    <w:p w14:paraId="4E4FEE1F" w14:textId="47B8F1BC" w:rsidR="00CB32AA" w:rsidRPr="00B54097" w:rsidRDefault="00B8097A" w:rsidP="00CB32AA">
      <w:pPr>
        <w:rPr>
          <w:b/>
          <w:lang w:val="en-US"/>
        </w:rPr>
      </w:pPr>
      <w:r w:rsidRPr="00B54097">
        <w:rPr>
          <w:b/>
          <w:lang w:val="en-US"/>
        </w:rPr>
        <w:t>Q</w:t>
      </w:r>
      <w:r w:rsidR="00B54097" w:rsidRPr="00B54097">
        <w:rPr>
          <w:b/>
          <w:lang w:val="en-US"/>
        </w:rPr>
        <w:t>6</w:t>
      </w:r>
      <w:r w:rsidR="00CB32AA" w:rsidRPr="00B54097">
        <w:rPr>
          <w:b/>
          <w:lang w:val="en-US"/>
        </w:rPr>
        <w:t xml:space="preserve">. </w:t>
      </w:r>
      <w:r w:rsidR="00946886" w:rsidRPr="00B54097">
        <w:rPr>
          <w:b/>
          <w:lang w:val="en-US"/>
        </w:rPr>
        <w:t>Have you established clear classes (groups) of assets, which are used for reporting and management in the Chart of Accounts?</w:t>
      </w:r>
      <w:r w:rsidR="004F5767" w:rsidRPr="00B54097">
        <w:rPr>
          <w:b/>
          <w:lang w:val="en-US"/>
        </w:rPr>
        <w:t xml:space="preserve"> </w:t>
      </w:r>
    </w:p>
    <w:p w14:paraId="00FBD966" w14:textId="77777777" w:rsidR="004F5767" w:rsidRPr="00B54097" w:rsidRDefault="004F5767" w:rsidP="00CB32AA">
      <w:pPr>
        <w:rPr>
          <w:b/>
          <w:lang w:val="en-US"/>
        </w:rPr>
      </w:pPr>
    </w:p>
    <w:p w14:paraId="68D5C8F2" w14:textId="3ED5AAB2" w:rsidR="00484523" w:rsidRDefault="00CB32AA" w:rsidP="00CB32AA">
      <w:pPr>
        <w:rPr>
          <w:lang w:val="en-US"/>
        </w:rPr>
      </w:pPr>
      <w:r w:rsidRPr="00EB322A">
        <w:rPr>
          <w:lang w:val="en-US"/>
        </w:rPr>
        <w:t xml:space="preserve">All </w:t>
      </w:r>
      <w:r w:rsidR="00C834A8">
        <w:rPr>
          <w:lang w:val="en-US"/>
        </w:rPr>
        <w:t>twelve</w:t>
      </w:r>
      <w:r w:rsidRPr="00EB322A">
        <w:rPr>
          <w:lang w:val="en-US"/>
        </w:rPr>
        <w:t xml:space="preserve"> countries (100%) replied</w:t>
      </w:r>
      <w:r w:rsidR="00946886">
        <w:rPr>
          <w:lang w:val="en-US"/>
        </w:rPr>
        <w:t xml:space="preserve"> “Yes”</w:t>
      </w:r>
      <w:r w:rsidRPr="00EB322A">
        <w:rPr>
          <w:lang w:val="en-US"/>
        </w:rPr>
        <w:t xml:space="preserve">. </w:t>
      </w:r>
      <w:r w:rsidR="00484523">
        <w:rPr>
          <w:lang w:val="en-US"/>
        </w:rPr>
        <w:t xml:space="preserve"> </w:t>
      </w:r>
    </w:p>
    <w:p w14:paraId="1196A251" w14:textId="77777777" w:rsidR="00484523" w:rsidRDefault="00484523" w:rsidP="00CB32AA">
      <w:pPr>
        <w:rPr>
          <w:lang w:val="en-US"/>
        </w:rPr>
      </w:pPr>
    </w:p>
    <w:p w14:paraId="5ADDB6D2" w14:textId="45812270" w:rsidR="00484523" w:rsidRPr="00B54097" w:rsidRDefault="00484523" w:rsidP="00484523">
      <w:pPr>
        <w:rPr>
          <w:b/>
          <w:lang w:val="en-US"/>
        </w:rPr>
      </w:pPr>
      <w:r w:rsidRPr="00B54097">
        <w:rPr>
          <w:b/>
          <w:lang w:val="en-US"/>
        </w:rPr>
        <w:t>Q7. Do records separately identify current and capital (or fixed) non-financial assets?</w:t>
      </w:r>
    </w:p>
    <w:p w14:paraId="06BB7560" w14:textId="77777777" w:rsidR="00484523" w:rsidRDefault="00484523" w:rsidP="00484523">
      <w:pPr>
        <w:rPr>
          <w:lang w:val="en-US"/>
        </w:rPr>
      </w:pPr>
    </w:p>
    <w:p w14:paraId="3CCBC057" w14:textId="6599D01D" w:rsidR="00484523" w:rsidRDefault="00C834A8" w:rsidP="00CB32AA">
      <w:pPr>
        <w:rPr>
          <w:lang w:val="en-US"/>
        </w:rPr>
      </w:pPr>
      <w:r>
        <w:rPr>
          <w:lang w:val="en-US"/>
        </w:rPr>
        <w:t>Eleven</w:t>
      </w:r>
      <w:r w:rsidR="00484523">
        <w:rPr>
          <w:lang w:val="en-US"/>
        </w:rPr>
        <w:t xml:space="preserve"> countries </w:t>
      </w:r>
      <w:r w:rsidR="00B8097A">
        <w:rPr>
          <w:lang w:val="en-US"/>
        </w:rPr>
        <w:t>replied “Yes” to this question</w:t>
      </w:r>
      <w:r>
        <w:rPr>
          <w:lang w:val="en-US"/>
        </w:rPr>
        <w:t xml:space="preserve"> and one no</w:t>
      </w:r>
      <w:r w:rsidR="0014132F">
        <w:rPr>
          <w:lang w:val="en-US"/>
        </w:rPr>
        <w:t>.</w:t>
      </w:r>
    </w:p>
    <w:p w14:paraId="65A27832" w14:textId="77777777" w:rsidR="00484523" w:rsidRDefault="00484523" w:rsidP="00CB32AA">
      <w:pPr>
        <w:rPr>
          <w:lang w:val="en-US"/>
        </w:rPr>
      </w:pPr>
    </w:p>
    <w:p w14:paraId="24EA02E3" w14:textId="77777777" w:rsidR="00484523" w:rsidRDefault="00484523" w:rsidP="00CB32AA">
      <w:pPr>
        <w:rPr>
          <w:lang w:val="en-US"/>
        </w:rPr>
      </w:pPr>
    </w:p>
    <w:p w14:paraId="54C9F39C" w14:textId="77777777" w:rsidR="00B54097" w:rsidRDefault="00B54097" w:rsidP="00CB32AA">
      <w:pPr>
        <w:rPr>
          <w:lang w:val="en-US"/>
        </w:rPr>
      </w:pPr>
    </w:p>
    <w:p w14:paraId="62939D75" w14:textId="77777777" w:rsidR="00B54097" w:rsidRDefault="00B54097" w:rsidP="00CB32AA">
      <w:pPr>
        <w:rPr>
          <w:lang w:val="en-US"/>
        </w:rPr>
      </w:pPr>
    </w:p>
    <w:p w14:paraId="540C8006" w14:textId="77777777" w:rsidR="00B54097" w:rsidRDefault="00B54097" w:rsidP="00CB32AA">
      <w:pPr>
        <w:rPr>
          <w:lang w:val="en-US"/>
        </w:rPr>
      </w:pPr>
    </w:p>
    <w:p w14:paraId="6CB4DF2C" w14:textId="77777777" w:rsidR="006D283F" w:rsidRDefault="006D283F" w:rsidP="00CB32AA">
      <w:pPr>
        <w:rPr>
          <w:lang w:val="en-US"/>
        </w:rPr>
      </w:pPr>
    </w:p>
    <w:p w14:paraId="71E27FAF" w14:textId="77777777" w:rsidR="006D283F" w:rsidRDefault="006D283F" w:rsidP="00CB32AA">
      <w:pPr>
        <w:rPr>
          <w:lang w:val="en-US"/>
        </w:rPr>
      </w:pPr>
    </w:p>
    <w:p w14:paraId="19496193" w14:textId="77777777" w:rsidR="006D283F" w:rsidRDefault="006D283F" w:rsidP="00CB32AA">
      <w:pPr>
        <w:rPr>
          <w:lang w:val="en-US"/>
        </w:rPr>
      </w:pPr>
    </w:p>
    <w:p w14:paraId="2F3107C4" w14:textId="77777777" w:rsidR="006D283F" w:rsidRDefault="006D283F" w:rsidP="00CB32AA">
      <w:pPr>
        <w:rPr>
          <w:lang w:val="en-US"/>
        </w:rPr>
      </w:pPr>
    </w:p>
    <w:p w14:paraId="0703A8FF" w14:textId="77777777" w:rsidR="006D283F" w:rsidRDefault="006D283F" w:rsidP="00CB32AA">
      <w:pPr>
        <w:rPr>
          <w:lang w:val="en-US"/>
        </w:rPr>
      </w:pPr>
    </w:p>
    <w:p w14:paraId="3276FA5B" w14:textId="77777777" w:rsidR="006D283F" w:rsidRDefault="006D283F" w:rsidP="00CB32AA">
      <w:pPr>
        <w:rPr>
          <w:lang w:val="en-US"/>
        </w:rPr>
      </w:pPr>
    </w:p>
    <w:p w14:paraId="196F45FC" w14:textId="77777777" w:rsidR="006D283F" w:rsidRDefault="006D283F" w:rsidP="00CB32AA">
      <w:pPr>
        <w:rPr>
          <w:lang w:val="en-US"/>
        </w:rPr>
      </w:pPr>
    </w:p>
    <w:p w14:paraId="5CDC8E9D" w14:textId="77777777" w:rsidR="006D283F" w:rsidRDefault="006D283F" w:rsidP="00CB32AA">
      <w:pPr>
        <w:rPr>
          <w:lang w:val="en-US"/>
        </w:rPr>
      </w:pPr>
    </w:p>
    <w:p w14:paraId="2AC1F71C" w14:textId="140542B3" w:rsidR="00484523" w:rsidRPr="00484523" w:rsidRDefault="00484523" w:rsidP="00CB32AA">
      <w:pPr>
        <w:rPr>
          <w:b/>
          <w:i/>
          <w:lang w:val="en-US"/>
        </w:rPr>
      </w:pPr>
      <w:r w:rsidRPr="00484523">
        <w:rPr>
          <w:b/>
          <w:i/>
          <w:lang w:val="en-US"/>
        </w:rPr>
        <w:lastRenderedPageBreak/>
        <w:t>Figure 4 – Classes of Assets</w:t>
      </w:r>
    </w:p>
    <w:p w14:paraId="407D8772" w14:textId="77777777" w:rsidR="00484523" w:rsidRPr="00484523" w:rsidRDefault="00484523" w:rsidP="00CB32AA">
      <w:pPr>
        <w:rPr>
          <w:lang w:val="en-US"/>
        </w:rPr>
      </w:pPr>
    </w:p>
    <w:p w14:paraId="3A9D7ECB" w14:textId="3F33E3C0" w:rsidR="004F5767" w:rsidRDefault="00484523" w:rsidP="00CB32AA">
      <w:pPr>
        <w:rPr>
          <w:b/>
          <w:u w:val="single"/>
          <w:lang w:val="en-US"/>
        </w:rPr>
      </w:pPr>
      <w:r>
        <w:rPr>
          <w:noProof/>
          <w:lang w:val="en-US" w:eastAsia="en-US"/>
        </w:rPr>
        <w:drawing>
          <wp:inline distT="0" distB="0" distL="0" distR="0" wp14:anchorId="44B51491" wp14:editId="59FAD40E">
            <wp:extent cx="4003040" cy="2394585"/>
            <wp:effectExtent l="0" t="0" r="35560" b="184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A3D2FD" w14:textId="77777777" w:rsidR="004F5767" w:rsidRDefault="004F5767" w:rsidP="00CB32AA">
      <w:pPr>
        <w:rPr>
          <w:b/>
          <w:u w:val="single"/>
          <w:lang w:val="en-US"/>
        </w:rPr>
      </w:pPr>
    </w:p>
    <w:p w14:paraId="44E1FC24" w14:textId="77777777" w:rsidR="004F5767" w:rsidRDefault="004F5767" w:rsidP="00CB32AA">
      <w:pPr>
        <w:rPr>
          <w:b/>
          <w:u w:val="single"/>
          <w:lang w:val="en-US"/>
        </w:rPr>
      </w:pPr>
    </w:p>
    <w:p w14:paraId="11D3CB91" w14:textId="1041EAD6" w:rsidR="00B8097A" w:rsidRDefault="00B8097A" w:rsidP="00B8097A">
      <w:pPr>
        <w:rPr>
          <w:lang w:val="en-US"/>
        </w:rPr>
      </w:pPr>
      <w:r>
        <w:rPr>
          <w:lang w:val="en-US"/>
        </w:rPr>
        <w:t>Q</w:t>
      </w:r>
      <w:r w:rsidR="00B54097">
        <w:rPr>
          <w:lang w:val="en-US"/>
        </w:rPr>
        <w:t xml:space="preserve">uestion </w:t>
      </w:r>
      <w:r>
        <w:rPr>
          <w:lang w:val="en-US"/>
        </w:rPr>
        <w:t xml:space="preserve">7 sought to deal with the issue of low value non-financial assets. In some countries while assets were brought to account at “cost”, they were not depreciated, revalued or reviewed for impairment. </w:t>
      </w:r>
      <w:r w:rsidR="00A040C4">
        <w:rPr>
          <w:lang w:val="en-US"/>
        </w:rPr>
        <w:t>Thus low value assets that might typically be fully depreciated at acquisition (expensed) are overstated in the accounts regarding their values, and other significant assets such as buildings, are probably undervalued for reporting purposes</w:t>
      </w:r>
      <w:r w:rsidR="00A040C4">
        <w:rPr>
          <w:rStyle w:val="FootnoteReference"/>
          <w:lang w:val="en-US"/>
        </w:rPr>
        <w:footnoteReference w:id="3"/>
      </w:r>
      <w:r w:rsidR="00A040C4">
        <w:rPr>
          <w:lang w:val="en-US"/>
        </w:rPr>
        <w:t xml:space="preserve">. </w:t>
      </w:r>
      <w:r w:rsidR="00D1024E">
        <w:rPr>
          <w:lang w:val="en-US"/>
        </w:rPr>
        <w:t>Historically l</w:t>
      </w:r>
      <w:r>
        <w:rPr>
          <w:lang w:val="en-US"/>
        </w:rPr>
        <w:t xml:space="preserve">and </w:t>
      </w:r>
      <w:r w:rsidR="00D1024E">
        <w:rPr>
          <w:lang w:val="en-US"/>
        </w:rPr>
        <w:t>h</w:t>
      </w:r>
      <w:r>
        <w:rPr>
          <w:lang w:val="en-US"/>
        </w:rPr>
        <w:t xml:space="preserve">as generally not </w:t>
      </w:r>
      <w:r w:rsidR="00D1024E">
        <w:rPr>
          <w:lang w:val="en-US"/>
        </w:rPr>
        <w:t xml:space="preserve">been </w:t>
      </w:r>
      <w:r>
        <w:rPr>
          <w:lang w:val="en-US"/>
        </w:rPr>
        <w:t>treated as a non-financial asset</w:t>
      </w:r>
      <w:r w:rsidR="00D1024E">
        <w:rPr>
          <w:lang w:val="en-US"/>
        </w:rPr>
        <w:t xml:space="preserve">, although this is changed for some countries based on </w:t>
      </w:r>
      <w:r w:rsidR="006D283F">
        <w:rPr>
          <w:lang w:val="en-US"/>
        </w:rPr>
        <w:t>some of the survey</w:t>
      </w:r>
      <w:r w:rsidR="00D1024E">
        <w:rPr>
          <w:lang w:val="en-US"/>
        </w:rPr>
        <w:t xml:space="preserve"> responses</w:t>
      </w:r>
      <w:r>
        <w:rPr>
          <w:lang w:val="en-US"/>
        </w:rPr>
        <w:t xml:space="preserve">. </w:t>
      </w:r>
    </w:p>
    <w:p w14:paraId="05352E21" w14:textId="77777777" w:rsidR="00B8097A" w:rsidRDefault="00B8097A" w:rsidP="00B8097A">
      <w:pPr>
        <w:rPr>
          <w:lang w:val="en-US"/>
        </w:rPr>
      </w:pPr>
    </w:p>
    <w:p w14:paraId="1714E452" w14:textId="77777777" w:rsidR="004F5767" w:rsidRDefault="004F5767" w:rsidP="00CB32AA">
      <w:pPr>
        <w:rPr>
          <w:b/>
          <w:u w:val="single"/>
          <w:lang w:val="en-US"/>
        </w:rPr>
      </w:pPr>
    </w:p>
    <w:p w14:paraId="075E563A" w14:textId="7FE7BEEA" w:rsidR="00946886" w:rsidRPr="00B54097" w:rsidRDefault="00D1024E" w:rsidP="00CB32AA">
      <w:pPr>
        <w:rPr>
          <w:b/>
          <w:lang w:val="en-US"/>
        </w:rPr>
      </w:pPr>
      <w:r w:rsidRPr="00B54097">
        <w:rPr>
          <w:b/>
          <w:lang w:val="en-US"/>
        </w:rPr>
        <w:t>Q</w:t>
      </w:r>
      <w:r w:rsidR="00946886" w:rsidRPr="00B54097">
        <w:rPr>
          <w:b/>
          <w:lang w:val="en-US"/>
        </w:rPr>
        <w:t>8. Please indicate the classes of capital non-financial assets that exist in your country, and the depreciation method (e.g. straight line, reducing balance) and depreciation period (i.e. number of years of estimated life over which the asset is depreciated) for each class.</w:t>
      </w:r>
    </w:p>
    <w:p w14:paraId="491E9A74" w14:textId="77777777" w:rsidR="000F7150" w:rsidRDefault="000F7150" w:rsidP="00CB32AA">
      <w:pPr>
        <w:rPr>
          <w:lang w:val="en-US"/>
        </w:rPr>
      </w:pPr>
    </w:p>
    <w:p w14:paraId="52BA1451" w14:textId="086CA467" w:rsidR="00B421B5" w:rsidRDefault="00B421B5" w:rsidP="00CB32AA">
      <w:pPr>
        <w:rPr>
          <w:lang w:val="en-US"/>
        </w:rPr>
      </w:pPr>
      <w:r>
        <w:rPr>
          <w:lang w:val="en-US"/>
        </w:rPr>
        <w:t>Ten</w:t>
      </w:r>
      <w:r w:rsidR="00975D6C">
        <w:rPr>
          <w:lang w:val="en-US"/>
        </w:rPr>
        <w:t xml:space="preserve"> countries</w:t>
      </w:r>
      <w:r w:rsidR="000F7150">
        <w:rPr>
          <w:lang w:val="en-US"/>
        </w:rPr>
        <w:t xml:space="preserve"> respond</w:t>
      </w:r>
      <w:r w:rsidR="00975D6C">
        <w:rPr>
          <w:lang w:val="en-US"/>
        </w:rPr>
        <w:t>ed</w:t>
      </w:r>
      <w:r w:rsidR="000F7150">
        <w:rPr>
          <w:lang w:val="en-US"/>
        </w:rPr>
        <w:t xml:space="preserve"> to this question</w:t>
      </w:r>
      <w:r w:rsidR="00D1024E">
        <w:rPr>
          <w:lang w:val="en-US"/>
        </w:rPr>
        <w:t xml:space="preserve">. </w:t>
      </w:r>
      <w:r w:rsidR="00D02A46">
        <w:rPr>
          <w:lang w:val="en-US"/>
        </w:rPr>
        <w:t xml:space="preserve"> A</w:t>
      </w:r>
      <w:r w:rsidR="00975D6C">
        <w:rPr>
          <w:lang w:val="en-US"/>
        </w:rPr>
        <w:t xml:space="preserve">ppendix </w:t>
      </w:r>
      <w:r w:rsidR="00B54097">
        <w:rPr>
          <w:lang w:val="en-US"/>
        </w:rPr>
        <w:t>C</w:t>
      </w:r>
      <w:r w:rsidR="00975D6C">
        <w:rPr>
          <w:lang w:val="en-US"/>
        </w:rPr>
        <w:t xml:space="preserve"> summarises the responses. The table inte</w:t>
      </w:r>
      <w:r w:rsidR="00A660F0">
        <w:rPr>
          <w:lang w:val="en-US"/>
        </w:rPr>
        <w:t>rpret</w:t>
      </w:r>
      <w:r w:rsidR="00975D6C">
        <w:rPr>
          <w:lang w:val="en-US"/>
        </w:rPr>
        <w:t>s the responses and tries to assess whether a set of uniform classes may exist across the ten respond</w:t>
      </w:r>
      <w:r w:rsidR="00963182">
        <w:rPr>
          <w:lang w:val="en-US"/>
        </w:rPr>
        <w:t>e</w:t>
      </w:r>
      <w:r w:rsidR="00975D6C">
        <w:rPr>
          <w:lang w:val="en-US"/>
        </w:rPr>
        <w:t>nt</w:t>
      </w:r>
      <w:r w:rsidR="00A660F0">
        <w:rPr>
          <w:lang w:val="en-US"/>
        </w:rPr>
        <w:t xml:space="preserve"> countries</w:t>
      </w:r>
      <w:r w:rsidR="00975D6C">
        <w:rPr>
          <w:lang w:val="en-US"/>
        </w:rPr>
        <w:t xml:space="preserve">. It does this by also mapping the responses </w:t>
      </w:r>
      <w:r w:rsidR="00311DF6">
        <w:rPr>
          <w:lang w:val="en-US"/>
        </w:rPr>
        <w:t xml:space="preserve">against </w:t>
      </w:r>
      <w:r w:rsidR="00975D6C">
        <w:rPr>
          <w:lang w:val="en-US"/>
        </w:rPr>
        <w:t>the GFSM2001</w:t>
      </w:r>
      <w:r w:rsidR="00C83F3F">
        <w:rPr>
          <w:rStyle w:val="FootnoteReference"/>
          <w:lang w:val="en-US"/>
        </w:rPr>
        <w:footnoteReference w:id="4"/>
      </w:r>
      <w:r w:rsidR="00975D6C">
        <w:rPr>
          <w:lang w:val="en-US"/>
        </w:rPr>
        <w:t xml:space="preserve"> classification for non-financial assets, and the indicative classes referred to in IPSAS 17</w:t>
      </w:r>
      <w:r>
        <w:rPr>
          <w:rStyle w:val="FootnoteReference"/>
          <w:lang w:val="en-US"/>
        </w:rPr>
        <w:footnoteReference w:id="5"/>
      </w:r>
      <w:r w:rsidR="00975D6C">
        <w:rPr>
          <w:lang w:val="en-US"/>
        </w:rPr>
        <w:t xml:space="preserve"> for property, plant and equipment.  </w:t>
      </w:r>
      <w:r>
        <w:rPr>
          <w:lang w:val="en-US"/>
        </w:rPr>
        <w:t>It appears that the most uniform set of classes can be developed around a GFSM2001 structure.</w:t>
      </w:r>
    </w:p>
    <w:p w14:paraId="3DC1515B" w14:textId="77777777" w:rsidR="00B421B5" w:rsidRDefault="00B421B5" w:rsidP="00CB32AA">
      <w:pPr>
        <w:rPr>
          <w:lang w:val="en-US"/>
        </w:rPr>
      </w:pPr>
    </w:p>
    <w:p w14:paraId="2466665A" w14:textId="77777777" w:rsidR="00311DF6" w:rsidRDefault="00311DF6" w:rsidP="00CB32AA">
      <w:pPr>
        <w:rPr>
          <w:b/>
          <w:i/>
          <w:lang w:val="en-US"/>
        </w:rPr>
      </w:pPr>
    </w:p>
    <w:p w14:paraId="077159E6" w14:textId="77777777" w:rsidR="00311DF6" w:rsidRDefault="00311DF6" w:rsidP="00CB32AA">
      <w:pPr>
        <w:rPr>
          <w:b/>
          <w:i/>
          <w:lang w:val="en-US"/>
        </w:rPr>
      </w:pPr>
    </w:p>
    <w:p w14:paraId="22927FCF" w14:textId="77777777" w:rsidR="00311DF6" w:rsidRDefault="00311DF6" w:rsidP="00CB32AA">
      <w:pPr>
        <w:rPr>
          <w:b/>
          <w:i/>
          <w:lang w:val="en-US"/>
        </w:rPr>
      </w:pPr>
    </w:p>
    <w:p w14:paraId="693DE4F7" w14:textId="77777777" w:rsidR="00311DF6" w:rsidRDefault="00311DF6" w:rsidP="00CB32AA">
      <w:pPr>
        <w:rPr>
          <w:b/>
          <w:i/>
          <w:lang w:val="en-US"/>
        </w:rPr>
      </w:pPr>
    </w:p>
    <w:p w14:paraId="0685BD7D" w14:textId="77777777" w:rsidR="00311DF6" w:rsidRDefault="00311DF6" w:rsidP="00CB32AA">
      <w:pPr>
        <w:rPr>
          <w:b/>
          <w:i/>
          <w:lang w:val="en-US"/>
        </w:rPr>
      </w:pPr>
    </w:p>
    <w:p w14:paraId="53C30B26" w14:textId="77777777" w:rsidR="00311DF6" w:rsidRDefault="00311DF6" w:rsidP="00CB32AA">
      <w:pPr>
        <w:rPr>
          <w:b/>
          <w:i/>
          <w:lang w:val="en-US"/>
        </w:rPr>
      </w:pPr>
    </w:p>
    <w:p w14:paraId="7C8F871E" w14:textId="77777777" w:rsidR="00311DF6" w:rsidRDefault="00311DF6" w:rsidP="00CB32AA">
      <w:pPr>
        <w:rPr>
          <w:b/>
          <w:i/>
          <w:lang w:val="en-US"/>
        </w:rPr>
      </w:pPr>
    </w:p>
    <w:p w14:paraId="293F93B1" w14:textId="77777777" w:rsidR="00311DF6" w:rsidRDefault="00311DF6" w:rsidP="00CB32AA">
      <w:pPr>
        <w:rPr>
          <w:b/>
          <w:i/>
          <w:lang w:val="en-US"/>
        </w:rPr>
      </w:pPr>
    </w:p>
    <w:p w14:paraId="0711C8A4" w14:textId="77777777" w:rsidR="00311DF6" w:rsidRDefault="00311DF6" w:rsidP="00CB32AA">
      <w:pPr>
        <w:rPr>
          <w:b/>
          <w:i/>
          <w:lang w:val="en-US"/>
        </w:rPr>
      </w:pPr>
    </w:p>
    <w:p w14:paraId="504AFF2A" w14:textId="77777777" w:rsidR="00311DF6" w:rsidRDefault="00311DF6" w:rsidP="00CB32AA">
      <w:pPr>
        <w:rPr>
          <w:b/>
          <w:i/>
          <w:lang w:val="en-US"/>
        </w:rPr>
      </w:pPr>
    </w:p>
    <w:p w14:paraId="6CAFFBAE" w14:textId="1759D6E3" w:rsidR="00B421B5" w:rsidRPr="00B421B5" w:rsidRDefault="00B421B5" w:rsidP="00CB32AA">
      <w:pPr>
        <w:rPr>
          <w:b/>
          <w:i/>
          <w:lang w:val="en-US"/>
        </w:rPr>
      </w:pPr>
      <w:r w:rsidRPr="00B421B5">
        <w:rPr>
          <w:b/>
          <w:i/>
          <w:lang w:val="en-US"/>
        </w:rPr>
        <w:lastRenderedPageBreak/>
        <w:t xml:space="preserve">Table </w:t>
      </w:r>
      <w:r w:rsidR="004A34F5">
        <w:rPr>
          <w:b/>
          <w:i/>
          <w:lang w:val="en-US"/>
        </w:rPr>
        <w:t>1</w:t>
      </w:r>
      <w:r w:rsidRPr="00B421B5">
        <w:rPr>
          <w:b/>
          <w:i/>
          <w:lang w:val="en-US"/>
        </w:rPr>
        <w:t xml:space="preserve"> – Mapping of respondent classes to the GFSM2001 str</w:t>
      </w:r>
      <w:r w:rsidR="00D02A46">
        <w:rPr>
          <w:b/>
          <w:i/>
          <w:lang w:val="en-US"/>
        </w:rPr>
        <w:t>u</w:t>
      </w:r>
      <w:r w:rsidRPr="00B421B5">
        <w:rPr>
          <w:b/>
          <w:i/>
          <w:lang w:val="en-US"/>
        </w:rPr>
        <w:t>cture for non-financial assets</w:t>
      </w:r>
      <w:r w:rsidR="00D02A46">
        <w:rPr>
          <w:b/>
          <w:i/>
          <w:lang w:val="en-US"/>
        </w:rPr>
        <w:t xml:space="preserve"> – </w:t>
      </w:r>
      <w:r w:rsidR="00B54097">
        <w:rPr>
          <w:b/>
          <w:i/>
          <w:lang w:val="en-US"/>
        </w:rPr>
        <w:t>Total n</w:t>
      </w:r>
      <w:r w:rsidR="00D02A46">
        <w:rPr>
          <w:b/>
          <w:i/>
          <w:lang w:val="en-US"/>
        </w:rPr>
        <w:t xml:space="preserve">umber of </w:t>
      </w:r>
      <w:r w:rsidR="00B54097">
        <w:rPr>
          <w:b/>
          <w:i/>
          <w:lang w:val="en-US"/>
        </w:rPr>
        <w:t>c</w:t>
      </w:r>
      <w:r w:rsidR="00D02A46">
        <w:rPr>
          <w:b/>
          <w:i/>
          <w:lang w:val="en-US"/>
        </w:rPr>
        <w:t>ountries with relevant classes</w:t>
      </w:r>
    </w:p>
    <w:p w14:paraId="3C5AE22E" w14:textId="77777777" w:rsidR="00B421B5" w:rsidRDefault="00B421B5" w:rsidP="00CB32AA">
      <w:pPr>
        <w:rPr>
          <w:lang w:val="en-US"/>
        </w:rPr>
      </w:pPr>
    </w:p>
    <w:tbl>
      <w:tblPr>
        <w:tblW w:w="5314" w:type="pct"/>
        <w:tblInd w:w="-601" w:type="dxa"/>
        <w:tblLayout w:type="fixed"/>
        <w:tblLook w:val="04A0" w:firstRow="1" w:lastRow="0" w:firstColumn="1" w:lastColumn="0" w:noHBand="0" w:noVBand="1"/>
      </w:tblPr>
      <w:tblGrid>
        <w:gridCol w:w="331"/>
        <w:gridCol w:w="1314"/>
        <w:gridCol w:w="858"/>
        <w:gridCol w:w="888"/>
        <w:gridCol w:w="888"/>
        <w:gridCol w:w="888"/>
        <w:gridCol w:w="683"/>
        <w:gridCol w:w="843"/>
        <w:gridCol w:w="795"/>
        <w:gridCol w:w="795"/>
        <w:gridCol w:w="828"/>
        <w:gridCol w:w="828"/>
        <w:gridCol w:w="836"/>
      </w:tblGrid>
      <w:tr w:rsidR="00B54097" w:rsidRPr="00B421B5" w14:paraId="6F78F345" w14:textId="77777777" w:rsidTr="00D02A46">
        <w:trPr>
          <w:trHeight w:val="480"/>
        </w:trPr>
        <w:tc>
          <w:tcPr>
            <w:tcW w:w="154"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6D3E826B" w14:textId="77777777" w:rsidR="00B421B5" w:rsidRPr="00D02A46" w:rsidRDefault="00B421B5" w:rsidP="00B421B5">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 xml:space="preserve">Land </w:t>
            </w:r>
          </w:p>
        </w:tc>
        <w:tc>
          <w:tcPr>
            <w:tcW w:w="610"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0FB2268B" w14:textId="77777777" w:rsidR="00B421B5" w:rsidRPr="00D02A46" w:rsidRDefault="00B421B5" w:rsidP="00B421B5">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Residential</w:t>
            </w:r>
          </w:p>
          <w:p w14:paraId="121E2B66" w14:textId="13ADADAD" w:rsidR="00B421B5" w:rsidRPr="00D02A46" w:rsidRDefault="00563A6A" w:rsidP="00B421B5">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Non-residential</w:t>
            </w:r>
            <w:r w:rsidR="00B421B5" w:rsidRPr="00D02A46">
              <w:rPr>
                <w:rFonts w:ascii="Microsoft Sans Serif" w:hAnsi="Microsoft Sans Serif" w:cs="Microsoft Sans Serif"/>
                <w:color w:val="000000"/>
                <w:sz w:val="16"/>
                <w:szCs w:val="16"/>
                <w:lang w:val="en-AU" w:eastAsia="en-US"/>
              </w:rPr>
              <w:t xml:space="preserve"> Buildings</w:t>
            </w:r>
          </w:p>
        </w:tc>
        <w:tc>
          <w:tcPr>
            <w:tcW w:w="398"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2A73AA85" w14:textId="77777777" w:rsidR="00B421B5" w:rsidRPr="00D02A46" w:rsidRDefault="00B421B5" w:rsidP="00B421B5">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Structures</w:t>
            </w:r>
          </w:p>
        </w:tc>
        <w:tc>
          <w:tcPr>
            <w:tcW w:w="412"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32616837" w14:textId="77777777" w:rsidR="00B421B5" w:rsidRPr="00D02A46" w:rsidRDefault="00B421B5" w:rsidP="00B421B5">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Transport Equipment</w:t>
            </w:r>
          </w:p>
        </w:tc>
        <w:tc>
          <w:tcPr>
            <w:tcW w:w="412"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5DE7CCC9" w14:textId="77777777" w:rsidR="00B421B5" w:rsidRPr="00D02A46" w:rsidRDefault="00B421B5" w:rsidP="00B421B5">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Other Machinery and Equipment</w:t>
            </w:r>
          </w:p>
        </w:tc>
        <w:tc>
          <w:tcPr>
            <w:tcW w:w="412"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20A82DD0" w14:textId="5CCC2BA4" w:rsidR="00B421B5" w:rsidRPr="00D1024E" w:rsidRDefault="00D1024E" w:rsidP="00D1024E">
            <w:pPr>
              <w:jc w:val="center"/>
              <w:rPr>
                <w:rFonts w:ascii="Microsoft Sans Serif" w:hAnsi="Microsoft Sans Serif" w:cs="Microsoft Sans Serif"/>
                <w:sz w:val="16"/>
                <w:szCs w:val="16"/>
                <w:lang w:val="en-AU" w:eastAsia="en-US"/>
              </w:rPr>
            </w:pPr>
            <w:r w:rsidRPr="00D1024E">
              <w:rPr>
                <w:rFonts w:ascii="Microsoft Sans Serif" w:hAnsi="Microsoft Sans Serif" w:cs="Microsoft Sans Serif"/>
                <w:sz w:val="16"/>
                <w:szCs w:val="16"/>
                <w:lang w:val="en-AU" w:eastAsia="en-US"/>
              </w:rPr>
              <w:t>Specialist Military Equipment</w:t>
            </w:r>
            <w:r w:rsidR="00B51B2E">
              <w:rPr>
                <w:rStyle w:val="FootnoteReference"/>
                <w:rFonts w:ascii="Microsoft Sans Serif" w:hAnsi="Microsoft Sans Serif" w:cs="Microsoft Sans Serif"/>
                <w:sz w:val="16"/>
                <w:szCs w:val="16"/>
                <w:lang w:val="en-AU" w:eastAsia="en-US"/>
              </w:rPr>
              <w:footnoteReference w:id="6"/>
            </w:r>
            <w:r w:rsidRPr="00D1024E">
              <w:rPr>
                <w:rFonts w:ascii="Microsoft Sans Serif" w:hAnsi="Microsoft Sans Serif" w:cs="Microsoft Sans Serif"/>
                <w:sz w:val="16"/>
                <w:szCs w:val="16"/>
                <w:lang w:val="en-AU" w:eastAsia="en-US"/>
              </w:rPr>
              <w:t xml:space="preserve"> </w:t>
            </w:r>
          </w:p>
        </w:tc>
        <w:tc>
          <w:tcPr>
            <w:tcW w:w="317"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6EF24287" w14:textId="77777777" w:rsidR="00B421B5" w:rsidRPr="00D02A46" w:rsidRDefault="00B421B5" w:rsidP="00B421B5">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Subsoil Assets</w:t>
            </w:r>
          </w:p>
        </w:tc>
        <w:tc>
          <w:tcPr>
            <w:tcW w:w="391"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5EEF1733" w14:textId="77777777" w:rsidR="00B421B5" w:rsidRPr="00D02A46" w:rsidRDefault="00B421B5" w:rsidP="00B421B5">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Cultivated Assets</w:t>
            </w:r>
          </w:p>
        </w:tc>
        <w:tc>
          <w:tcPr>
            <w:tcW w:w="369"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1559D792" w14:textId="77777777" w:rsidR="00B421B5" w:rsidRPr="00D02A46" w:rsidRDefault="00B421B5" w:rsidP="00B421B5">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Other naturally occurring Assets</w:t>
            </w:r>
          </w:p>
        </w:tc>
        <w:tc>
          <w:tcPr>
            <w:tcW w:w="369"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32AFBFED" w14:textId="77777777" w:rsidR="00B421B5" w:rsidRPr="00D02A46" w:rsidRDefault="00B421B5" w:rsidP="00B421B5">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Inventory</w:t>
            </w:r>
          </w:p>
        </w:tc>
        <w:tc>
          <w:tcPr>
            <w:tcW w:w="384"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1B62B04E" w14:textId="77777777" w:rsidR="00B421B5" w:rsidRPr="00D02A46" w:rsidRDefault="00B421B5" w:rsidP="00B421B5">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 xml:space="preserve">Intangible Fixed Assets </w:t>
            </w:r>
          </w:p>
        </w:tc>
        <w:tc>
          <w:tcPr>
            <w:tcW w:w="384"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34126592" w14:textId="77777777" w:rsidR="00B421B5" w:rsidRPr="00D02A46" w:rsidRDefault="00B421B5" w:rsidP="00B421B5">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Intangible Non-produced Assets</w:t>
            </w:r>
          </w:p>
        </w:tc>
        <w:tc>
          <w:tcPr>
            <w:tcW w:w="388"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40CF6596" w14:textId="77777777" w:rsidR="00B421B5" w:rsidRPr="00D02A46" w:rsidRDefault="00B421B5" w:rsidP="00B421B5">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Valuables</w:t>
            </w:r>
          </w:p>
        </w:tc>
      </w:tr>
      <w:tr w:rsidR="00B54097" w:rsidRPr="00B421B5" w14:paraId="5F925408" w14:textId="77777777" w:rsidTr="00D02A46">
        <w:trPr>
          <w:trHeight w:val="480"/>
        </w:trPr>
        <w:tc>
          <w:tcPr>
            <w:tcW w:w="154" w:type="pct"/>
            <w:tcBorders>
              <w:top w:val="single" w:sz="4" w:space="0" w:color="auto"/>
              <w:left w:val="single" w:sz="4" w:space="0" w:color="auto"/>
              <w:bottom w:val="single" w:sz="4" w:space="0" w:color="auto"/>
              <w:right w:val="single" w:sz="4" w:space="0" w:color="auto"/>
            </w:tcBorders>
            <w:shd w:val="clear" w:color="000000" w:fill="DA9694"/>
            <w:vAlign w:val="bottom"/>
          </w:tcPr>
          <w:p w14:paraId="72986620" w14:textId="640C246E" w:rsidR="00B421B5" w:rsidRPr="00B421B5" w:rsidRDefault="00311DF6" w:rsidP="00B421B5">
            <w:pPr>
              <w:jc w:val="center"/>
              <w:rPr>
                <w:rFonts w:ascii="Microsoft Sans Serif" w:hAnsi="Microsoft Sans Serif" w:cs="Microsoft Sans Serif"/>
                <w:color w:val="000000"/>
                <w:sz w:val="20"/>
                <w:szCs w:val="20"/>
                <w:lang w:val="en-AU" w:eastAsia="en-US"/>
              </w:rPr>
            </w:pPr>
            <w:r>
              <w:rPr>
                <w:rFonts w:ascii="Microsoft Sans Serif" w:hAnsi="Microsoft Sans Serif" w:cs="Microsoft Sans Serif"/>
                <w:color w:val="000000"/>
                <w:sz w:val="20"/>
                <w:szCs w:val="20"/>
                <w:lang w:val="en-AU" w:eastAsia="en-US"/>
              </w:rPr>
              <w:t>5</w:t>
            </w:r>
          </w:p>
        </w:tc>
        <w:tc>
          <w:tcPr>
            <w:tcW w:w="610" w:type="pct"/>
            <w:tcBorders>
              <w:top w:val="single" w:sz="4" w:space="0" w:color="auto"/>
              <w:left w:val="single" w:sz="4" w:space="0" w:color="auto"/>
              <w:bottom w:val="single" w:sz="4" w:space="0" w:color="auto"/>
              <w:right w:val="single" w:sz="4" w:space="0" w:color="auto"/>
            </w:tcBorders>
            <w:shd w:val="clear" w:color="000000" w:fill="DA9694"/>
            <w:vAlign w:val="bottom"/>
          </w:tcPr>
          <w:p w14:paraId="5B92D4F5" w14:textId="215314E2" w:rsidR="00B421B5" w:rsidRPr="00B421B5" w:rsidRDefault="00311DF6" w:rsidP="00B421B5">
            <w:pPr>
              <w:jc w:val="center"/>
              <w:rPr>
                <w:rFonts w:ascii="Microsoft Sans Serif" w:hAnsi="Microsoft Sans Serif" w:cs="Microsoft Sans Serif"/>
                <w:color w:val="000000"/>
                <w:sz w:val="20"/>
                <w:szCs w:val="20"/>
                <w:lang w:val="en-AU" w:eastAsia="en-US"/>
              </w:rPr>
            </w:pPr>
            <w:r>
              <w:rPr>
                <w:rFonts w:ascii="Microsoft Sans Serif" w:hAnsi="Microsoft Sans Serif" w:cs="Microsoft Sans Serif"/>
                <w:color w:val="000000"/>
                <w:sz w:val="20"/>
                <w:szCs w:val="20"/>
                <w:lang w:val="en-AU" w:eastAsia="en-US"/>
              </w:rPr>
              <w:t>9</w:t>
            </w:r>
          </w:p>
        </w:tc>
        <w:tc>
          <w:tcPr>
            <w:tcW w:w="398" w:type="pct"/>
            <w:tcBorders>
              <w:top w:val="single" w:sz="4" w:space="0" w:color="auto"/>
              <w:left w:val="single" w:sz="4" w:space="0" w:color="auto"/>
              <w:bottom w:val="single" w:sz="4" w:space="0" w:color="auto"/>
              <w:right w:val="single" w:sz="4" w:space="0" w:color="auto"/>
            </w:tcBorders>
            <w:shd w:val="clear" w:color="000000" w:fill="DA9694"/>
            <w:vAlign w:val="bottom"/>
          </w:tcPr>
          <w:p w14:paraId="2B00943F" w14:textId="72213171" w:rsidR="00B421B5" w:rsidRPr="00B421B5" w:rsidRDefault="007C3CD5" w:rsidP="00B421B5">
            <w:pPr>
              <w:jc w:val="center"/>
              <w:rPr>
                <w:rFonts w:ascii="Microsoft Sans Serif" w:hAnsi="Microsoft Sans Serif" w:cs="Microsoft Sans Serif"/>
                <w:color w:val="000000"/>
                <w:sz w:val="20"/>
                <w:szCs w:val="20"/>
                <w:lang w:val="en-AU" w:eastAsia="en-US"/>
              </w:rPr>
            </w:pPr>
            <w:r>
              <w:rPr>
                <w:rFonts w:ascii="Microsoft Sans Serif" w:hAnsi="Microsoft Sans Serif" w:cs="Microsoft Sans Serif"/>
                <w:color w:val="000000"/>
                <w:sz w:val="20"/>
                <w:szCs w:val="20"/>
                <w:lang w:val="en-AU" w:eastAsia="en-US"/>
              </w:rPr>
              <w:t>8</w:t>
            </w:r>
          </w:p>
        </w:tc>
        <w:tc>
          <w:tcPr>
            <w:tcW w:w="412" w:type="pct"/>
            <w:tcBorders>
              <w:top w:val="single" w:sz="4" w:space="0" w:color="auto"/>
              <w:left w:val="single" w:sz="4" w:space="0" w:color="auto"/>
              <w:bottom w:val="single" w:sz="4" w:space="0" w:color="auto"/>
              <w:right w:val="single" w:sz="4" w:space="0" w:color="auto"/>
            </w:tcBorders>
            <w:shd w:val="clear" w:color="000000" w:fill="DA9694"/>
            <w:vAlign w:val="bottom"/>
          </w:tcPr>
          <w:p w14:paraId="5043F52D" w14:textId="43574928" w:rsidR="00B421B5" w:rsidRPr="00B421B5" w:rsidRDefault="007C3CD5" w:rsidP="00B421B5">
            <w:pPr>
              <w:jc w:val="center"/>
              <w:rPr>
                <w:rFonts w:ascii="Microsoft Sans Serif" w:hAnsi="Microsoft Sans Serif" w:cs="Microsoft Sans Serif"/>
                <w:color w:val="000000"/>
                <w:sz w:val="20"/>
                <w:szCs w:val="20"/>
                <w:lang w:val="en-AU" w:eastAsia="en-US"/>
              </w:rPr>
            </w:pPr>
            <w:r>
              <w:rPr>
                <w:rFonts w:ascii="Microsoft Sans Serif" w:hAnsi="Microsoft Sans Serif" w:cs="Microsoft Sans Serif"/>
                <w:color w:val="000000"/>
                <w:sz w:val="20"/>
                <w:szCs w:val="20"/>
                <w:lang w:val="en-AU" w:eastAsia="en-US"/>
              </w:rPr>
              <w:t>7</w:t>
            </w:r>
          </w:p>
        </w:tc>
        <w:tc>
          <w:tcPr>
            <w:tcW w:w="412" w:type="pct"/>
            <w:tcBorders>
              <w:top w:val="single" w:sz="4" w:space="0" w:color="auto"/>
              <w:left w:val="single" w:sz="4" w:space="0" w:color="auto"/>
              <w:bottom w:val="single" w:sz="4" w:space="0" w:color="auto"/>
              <w:right w:val="single" w:sz="4" w:space="0" w:color="auto"/>
            </w:tcBorders>
            <w:shd w:val="clear" w:color="000000" w:fill="DA9694"/>
            <w:vAlign w:val="bottom"/>
          </w:tcPr>
          <w:p w14:paraId="5A219357" w14:textId="6E6DD0A7" w:rsidR="00B421B5" w:rsidRPr="00B421B5" w:rsidRDefault="007C3CD5" w:rsidP="00B421B5">
            <w:pPr>
              <w:jc w:val="center"/>
              <w:rPr>
                <w:rFonts w:ascii="Microsoft Sans Serif" w:hAnsi="Microsoft Sans Serif" w:cs="Microsoft Sans Serif"/>
                <w:color w:val="000000"/>
                <w:sz w:val="20"/>
                <w:szCs w:val="20"/>
                <w:lang w:val="en-AU" w:eastAsia="en-US"/>
              </w:rPr>
            </w:pPr>
            <w:r>
              <w:rPr>
                <w:rFonts w:ascii="Microsoft Sans Serif" w:hAnsi="Microsoft Sans Serif" w:cs="Microsoft Sans Serif"/>
                <w:color w:val="000000"/>
                <w:sz w:val="20"/>
                <w:szCs w:val="20"/>
                <w:lang w:val="en-AU" w:eastAsia="en-US"/>
              </w:rPr>
              <w:t>9</w:t>
            </w:r>
          </w:p>
        </w:tc>
        <w:tc>
          <w:tcPr>
            <w:tcW w:w="412" w:type="pct"/>
            <w:tcBorders>
              <w:top w:val="single" w:sz="4" w:space="0" w:color="auto"/>
              <w:left w:val="single" w:sz="4" w:space="0" w:color="auto"/>
              <w:bottom w:val="single" w:sz="4" w:space="0" w:color="auto"/>
              <w:right w:val="single" w:sz="4" w:space="0" w:color="auto"/>
            </w:tcBorders>
            <w:shd w:val="clear" w:color="000000" w:fill="DA9694"/>
            <w:vAlign w:val="bottom"/>
          </w:tcPr>
          <w:p w14:paraId="551E6232" w14:textId="6475D2C7" w:rsidR="00B421B5" w:rsidRPr="00D1024E" w:rsidRDefault="00D1024E" w:rsidP="00B421B5">
            <w:pPr>
              <w:jc w:val="center"/>
              <w:rPr>
                <w:rFonts w:ascii="Microsoft Sans Serif" w:hAnsi="Microsoft Sans Serif" w:cs="Microsoft Sans Serif"/>
                <w:sz w:val="20"/>
                <w:szCs w:val="20"/>
                <w:lang w:val="en-AU" w:eastAsia="en-US"/>
              </w:rPr>
            </w:pPr>
            <w:r w:rsidRPr="00D1024E">
              <w:rPr>
                <w:rFonts w:ascii="Microsoft Sans Serif" w:hAnsi="Microsoft Sans Serif" w:cs="Microsoft Sans Serif"/>
                <w:sz w:val="20"/>
                <w:szCs w:val="20"/>
                <w:lang w:val="en-AU" w:eastAsia="en-US"/>
              </w:rPr>
              <w:t>0</w:t>
            </w:r>
          </w:p>
        </w:tc>
        <w:tc>
          <w:tcPr>
            <w:tcW w:w="317" w:type="pct"/>
            <w:tcBorders>
              <w:top w:val="single" w:sz="4" w:space="0" w:color="auto"/>
              <w:left w:val="single" w:sz="4" w:space="0" w:color="auto"/>
              <w:bottom w:val="single" w:sz="4" w:space="0" w:color="auto"/>
              <w:right w:val="single" w:sz="4" w:space="0" w:color="auto"/>
            </w:tcBorders>
            <w:shd w:val="clear" w:color="000000" w:fill="DA9694"/>
            <w:vAlign w:val="bottom"/>
          </w:tcPr>
          <w:p w14:paraId="09AA0018" w14:textId="48474CF5" w:rsidR="00B421B5" w:rsidRPr="00B421B5" w:rsidRDefault="000810A8" w:rsidP="00B421B5">
            <w:pPr>
              <w:jc w:val="center"/>
              <w:rPr>
                <w:rFonts w:ascii="Microsoft Sans Serif" w:hAnsi="Microsoft Sans Serif" w:cs="Microsoft Sans Serif"/>
                <w:color w:val="000000"/>
                <w:sz w:val="20"/>
                <w:szCs w:val="20"/>
                <w:lang w:val="en-AU" w:eastAsia="en-US"/>
              </w:rPr>
            </w:pPr>
            <w:r>
              <w:rPr>
                <w:rFonts w:ascii="Microsoft Sans Serif" w:hAnsi="Microsoft Sans Serif" w:cs="Microsoft Sans Serif"/>
                <w:color w:val="000000"/>
                <w:sz w:val="20"/>
                <w:szCs w:val="20"/>
                <w:lang w:val="en-AU" w:eastAsia="en-US"/>
              </w:rPr>
              <w:t>3</w:t>
            </w:r>
          </w:p>
        </w:tc>
        <w:tc>
          <w:tcPr>
            <w:tcW w:w="391" w:type="pct"/>
            <w:tcBorders>
              <w:top w:val="single" w:sz="4" w:space="0" w:color="auto"/>
              <w:left w:val="single" w:sz="4" w:space="0" w:color="auto"/>
              <w:bottom w:val="single" w:sz="4" w:space="0" w:color="auto"/>
              <w:right w:val="single" w:sz="4" w:space="0" w:color="auto"/>
            </w:tcBorders>
            <w:shd w:val="clear" w:color="000000" w:fill="DA9694"/>
            <w:vAlign w:val="bottom"/>
          </w:tcPr>
          <w:p w14:paraId="59D249B8" w14:textId="726032FC" w:rsidR="00B421B5" w:rsidRPr="00B421B5" w:rsidRDefault="000810A8" w:rsidP="00B421B5">
            <w:pPr>
              <w:jc w:val="center"/>
              <w:rPr>
                <w:rFonts w:ascii="Microsoft Sans Serif" w:hAnsi="Microsoft Sans Serif" w:cs="Microsoft Sans Serif"/>
                <w:color w:val="000000"/>
                <w:sz w:val="20"/>
                <w:szCs w:val="20"/>
                <w:lang w:val="en-AU" w:eastAsia="en-US"/>
              </w:rPr>
            </w:pPr>
            <w:r>
              <w:rPr>
                <w:rFonts w:ascii="Microsoft Sans Serif" w:hAnsi="Microsoft Sans Serif" w:cs="Microsoft Sans Serif"/>
                <w:color w:val="000000"/>
                <w:sz w:val="20"/>
                <w:szCs w:val="20"/>
                <w:lang w:val="en-AU" w:eastAsia="en-US"/>
              </w:rPr>
              <w:t>7</w:t>
            </w:r>
          </w:p>
        </w:tc>
        <w:tc>
          <w:tcPr>
            <w:tcW w:w="369" w:type="pct"/>
            <w:tcBorders>
              <w:top w:val="single" w:sz="4" w:space="0" w:color="auto"/>
              <w:left w:val="single" w:sz="4" w:space="0" w:color="auto"/>
              <w:bottom w:val="single" w:sz="4" w:space="0" w:color="auto"/>
              <w:right w:val="single" w:sz="4" w:space="0" w:color="auto"/>
            </w:tcBorders>
            <w:shd w:val="clear" w:color="000000" w:fill="DA9694"/>
            <w:vAlign w:val="bottom"/>
          </w:tcPr>
          <w:p w14:paraId="7363101A" w14:textId="59908C85" w:rsidR="00B421B5" w:rsidRPr="00B421B5" w:rsidRDefault="000810A8" w:rsidP="00B421B5">
            <w:pPr>
              <w:jc w:val="center"/>
              <w:rPr>
                <w:rFonts w:ascii="Microsoft Sans Serif" w:hAnsi="Microsoft Sans Serif" w:cs="Microsoft Sans Serif"/>
                <w:color w:val="000000"/>
                <w:sz w:val="20"/>
                <w:szCs w:val="20"/>
                <w:lang w:val="en-AU" w:eastAsia="en-US"/>
              </w:rPr>
            </w:pPr>
            <w:r>
              <w:rPr>
                <w:rFonts w:ascii="Microsoft Sans Serif" w:hAnsi="Microsoft Sans Serif" w:cs="Microsoft Sans Serif"/>
                <w:color w:val="000000"/>
                <w:sz w:val="20"/>
                <w:szCs w:val="20"/>
                <w:lang w:val="en-AU" w:eastAsia="en-US"/>
              </w:rPr>
              <w:t>4</w:t>
            </w:r>
          </w:p>
        </w:tc>
        <w:tc>
          <w:tcPr>
            <w:tcW w:w="369" w:type="pct"/>
            <w:tcBorders>
              <w:top w:val="single" w:sz="4" w:space="0" w:color="auto"/>
              <w:left w:val="single" w:sz="4" w:space="0" w:color="auto"/>
              <w:bottom w:val="single" w:sz="4" w:space="0" w:color="auto"/>
              <w:right w:val="single" w:sz="4" w:space="0" w:color="auto"/>
            </w:tcBorders>
            <w:shd w:val="clear" w:color="000000" w:fill="DA9694"/>
            <w:vAlign w:val="bottom"/>
          </w:tcPr>
          <w:p w14:paraId="3A6DA3BE" w14:textId="1EF840FD" w:rsidR="00B421B5" w:rsidRPr="00B421B5" w:rsidRDefault="000810A8" w:rsidP="00B421B5">
            <w:pPr>
              <w:jc w:val="center"/>
              <w:rPr>
                <w:rFonts w:ascii="Microsoft Sans Serif" w:hAnsi="Microsoft Sans Serif" w:cs="Microsoft Sans Serif"/>
                <w:color w:val="000000"/>
                <w:sz w:val="20"/>
                <w:szCs w:val="20"/>
                <w:lang w:val="en-AU" w:eastAsia="en-US"/>
              </w:rPr>
            </w:pPr>
            <w:r>
              <w:rPr>
                <w:rFonts w:ascii="Microsoft Sans Serif" w:hAnsi="Microsoft Sans Serif" w:cs="Microsoft Sans Serif"/>
                <w:color w:val="000000"/>
                <w:sz w:val="20"/>
                <w:szCs w:val="20"/>
                <w:lang w:val="en-AU" w:eastAsia="en-US"/>
              </w:rPr>
              <w:t>2</w:t>
            </w:r>
          </w:p>
        </w:tc>
        <w:tc>
          <w:tcPr>
            <w:tcW w:w="384" w:type="pct"/>
            <w:tcBorders>
              <w:top w:val="single" w:sz="4" w:space="0" w:color="auto"/>
              <w:left w:val="single" w:sz="4" w:space="0" w:color="auto"/>
              <w:bottom w:val="single" w:sz="4" w:space="0" w:color="auto"/>
              <w:right w:val="single" w:sz="4" w:space="0" w:color="auto"/>
            </w:tcBorders>
            <w:shd w:val="clear" w:color="000000" w:fill="DA9694"/>
            <w:vAlign w:val="bottom"/>
          </w:tcPr>
          <w:p w14:paraId="1B2F71E3" w14:textId="532BF131" w:rsidR="00B421B5" w:rsidRPr="00B421B5" w:rsidRDefault="000810A8" w:rsidP="00B421B5">
            <w:pPr>
              <w:jc w:val="center"/>
              <w:rPr>
                <w:rFonts w:ascii="Microsoft Sans Serif" w:hAnsi="Microsoft Sans Serif" w:cs="Microsoft Sans Serif"/>
                <w:color w:val="000000"/>
                <w:sz w:val="20"/>
                <w:szCs w:val="20"/>
                <w:lang w:val="en-AU" w:eastAsia="en-US"/>
              </w:rPr>
            </w:pPr>
            <w:r>
              <w:rPr>
                <w:rFonts w:ascii="Microsoft Sans Serif" w:hAnsi="Microsoft Sans Serif" w:cs="Microsoft Sans Serif"/>
                <w:color w:val="000000"/>
                <w:sz w:val="20"/>
                <w:szCs w:val="20"/>
                <w:lang w:val="en-AU" w:eastAsia="en-US"/>
              </w:rPr>
              <w:t>7</w:t>
            </w:r>
          </w:p>
        </w:tc>
        <w:tc>
          <w:tcPr>
            <w:tcW w:w="384" w:type="pct"/>
            <w:tcBorders>
              <w:top w:val="single" w:sz="4" w:space="0" w:color="auto"/>
              <w:left w:val="single" w:sz="4" w:space="0" w:color="auto"/>
              <w:bottom w:val="single" w:sz="4" w:space="0" w:color="auto"/>
              <w:right w:val="single" w:sz="4" w:space="0" w:color="auto"/>
            </w:tcBorders>
            <w:shd w:val="clear" w:color="000000" w:fill="DA9694"/>
            <w:vAlign w:val="bottom"/>
          </w:tcPr>
          <w:p w14:paraId="0630DE58" w14:textId="7F50BE2F" w:rsidR="00B421B5" w:rsidRPr="00B421B5" w:rsidRDefault="000810A8" w:rsidP="00B421B5">
            <w:pPr>
              <w:jc w:val="center"/>
              <w:rPr>
                <w:rFonts w:ascii="Microsoft Sans Serif" w:hAnsi="Microsoft Sans Serif" w:cs="Microsoft Sans Serif"/>
                <w:color w:val="000000"/>
                <w:sz w:val="20"/>
                <w:szCs w:val="20"/>
                <w:lang w:val="en-AU" w:eastAsia="en-US"/>
              </w:rPr>
            </w:pPr>
            <w:r>
              <w:rPr>
                <w:rFonts w:ascii="Microsoft Sans Serif" w:hAnsi="Microsoft Sans Serif" w:cs="Microsoft Sans Serif"/>
                <w:color w:val="000000"/>
                <w:sz w:val="20"/>
                <w:szCs w:val="20"/>
                <w:lang w:val="en-AU" w:eastAsia="en-US"/>
              </w:rPr>
              <w:t>0</w:t>
            </w:r>
          </w:p>
        </w:tc>
        <w:tc>
          <w:tcPr>
            <w:tcW w:w="388" w:type="pct"/>
            <w:tcBorders>
              <w:top w:val="single" w:sz="4" w:space="0" w:color="auto"/>
              <w:left w:val="single" w:sz="4" w:space="0" w:color="auto"/>
              <w:bottom w:val="single" w:sz="4" w:space="0" w:color="auto"/>
              <w:right w:val="single" w:sz="4" w:space="0" w:color="auto"/>
            </w:tcBorders>
            <w:shd w:val="clear" w:color="000000" w:fill="DA9694"/>
            <w:vAlign w:val="bottom"/>
          </w:tcPr>
          <w:p w14:paraId="1BCE9762" w14:textId="786DE8A2" w:rsidR="00B421B5" w:rsidRPr="00B421B5" w:rsidRDefault="000810A8" w:rsidP="00B421B5">
            <w:pPr>
              <w:jc w:val="center"/>
              <w:rPr>
                <w:rFonts w:ascii="Microsoft Sans Serif" w:hAnsi="Microsoft Sans Serif" w:cs="Microsoft Sans Serif"/>
                <w:color w:val="000000"/>
                <w:sz w:val="20"/>
                <w:szCs w:val="20"/>
                <w:lang w:val="en-AU" w:eastAsia="en-US"/>
              </w:rPr>
            </w:pPr>
            <w:r>
              <w:rPr>
                <w:rFonts w:ascii="Microsoft Sans Serif" w:hAnsi="Microsoft Sans Serif" w:cs="Microsoft Sans Serif"/>
                <w:color w:val="000000"/>
                <w:sz w:val="20"/>
                <w:szCs w:val="20"/>
                <w:lang w:val="en-AU" w:eastAsia="en-US"/>
              </w:rPr>
              <w:t>2</w:t>
            </w:r>
          </w:p>
        </w:tc>
      </w:tr>
    </w:tbl>
    <w:p w14:paraId="36183480" w14:textId="47AA55F2" w:rsidR="0009469E" w:rsidRPr="000F7150" w:rsidRDefault="00B421B5" w:rsidP="00CB32AA">
      <w:pPr>
        <w:rPr>
          <w:lang w:val="en-US"/>
        </w:rPr>
      </w:pPr>
      <w:r>
        <w:rPr>
          <w:lang w:val="en-US"/>
        </w:rPr>
        <w:t xml:space="preserve"> </w:t>
      </w:r>
    </w:p>
    <w:p w14:paraId="3FEA0546" w14:textId="1A91619B" w:rsidR="00C71AED" w:rsidRDefault="00D02A46" w:rsidP="00B54097">
      <w:pPr>
        <w:spacing w:before="100" w:beforeAutospacing="1"/>
        <w:ind w:left="-709"/>
        <w:rPr>
          <w:lang w:val="en-US"/>
        </w:rPr>
      </w:pPr>
      <w:r>
        <w:rPr>
          <w:lang w:val="en-US"/>
        </w:rPr>
        <w:t xml:space="preserve">The general results of </w:t>
      </w:r>
      <w:r w:rsidR="00D1024E">
        <w:rPr>
          <w:lang w:val="en-US"/>
        </w:rPr>
        <w:t xml:space="preserve">appendix </w:t>
      </w:r>
      <w:r w:rsidR="00B54097">
        <w:rPr>
          <w:lang w:val="en-US"/>
        </w:rPr>
        <w:t>C</w:t>
      </w:r>
      <w:r>
        <w:rPr>
          <w:lang w:val="en-US"/>
        </w:rPr>
        <w:t xml:space="preserve"> are summarized in Table </w:t>
      </w:r>
      <w:r w:rsidR="006D283F">
        <w:rPr>
          <w:lang w:val="en-US"/>
        </w:rPr>
        <w:t>1</w:t>
      </w:r>
      <w:r>
        <w:rPr>
          <w:lang w:val="en-US"/>
        </w:rPr>
        <w:t xml:space="preserve">. While complete uniformity </w:t>
      </w:r>
      <w:r w:rsidR="000118CE">
        <w:rPr>
          <w:lang w:val="en-US"/>
        </w:rPr>
        <w:t>across countries would not be possible nor is it</w:t>
      </w:r>
      <w:r>
        <w:rPr>
          <w:lang w:val="en-US"/>
        </w:rPr>
        <w:t xml:space="preserve"> </w:t>
      </w:r>
      <w:r w:rsidR="00C71AED">
        <w:rPr>
          <w:lang w:val="en-US"/>
        </w:rPr>
        <w:t>necessary, the</w:t>
      </w:r>
      <w:r w:rsidR="000118CE">
        <w:rPr>
          <w:lang w:val="en-US"/>
        </w:rPr>
        <w:t>re</w:t>
      </w:r>
      <w:r w:rsidR="00C71AED">
        <w:rPr>
          <w:lang w:val="en-US"/>
        </w:rPr>
        <w:t xml:space="preserve"> </w:t>
      </w:r>
      <w:r w:rsidR="000118CE">
        <w:rPr>
          <w:lang w:val="en-US"/>
        </w:rPr>
        <w:t>would be</w:t>
      </w:r>
      <w:r w:rsidR="00C71AED">
        <w:rPr>
          <w:lang w:val="en-US"/>
        </w:rPr>
        <w:t xml:space="preserve"> benefits in </w:t>
      </w:r>
      <w:r w:rsidR="00311DF6">
        <w:rPr>
          <w:lang w:val="en-US"/>
        </w:rPr>
        <w:t xml:space="preserve">the asset working group of </w:t>
      </w:r>
      <w:r w:rsidR="00C71AED">
        <w:rPr>
          <w:lang w:val="en-US"/>
        </w:rPr>
        <w:t>TC</w:t>
      </w:r>
      <w:r w:rsidR="00311DF6">
        <w:rPr>
          <w:lang w:val="en-US"/>
        </w:rPr>
        <w:t>o</w:t>
      </w:r>
      <w:r w:rsidR="00C71AED">
        <w:rPr>
          <w:lang w:val="en-US"/>
        </w:rPr>
        <w:t>P developing a set of uniform classes around which it also develops typical accounting policies. Countries could then choose to adopt or modify the classes to suit local requirements.</w:t>
      </w:r>
      <w:r w:rsidR="00311DF6">
        <w:rPr>
          <w:lang w:val="en-US"/>
        </w:rPr>
        <w:t xml:space="preserve"> Issues arising from the table</w:t>
      </w:r>
      <w:r w:rsidR="00097C25">
        <w:rPr>
          <w:lang w:val="en-US"/>
        </w:rPr>
        <w:t xml:space="preserve"> are:</w:t>
      </w:r>
      <w:r w:rsidR="00C71AED">
        <w:rPr>
          <w:lang w:val="en-US"/>
        </w:rPr>
        <w:t xml:space="preserve"> </w:t>
      </w:r>
    </w:p>
    <w:p w14:paraId="1BA569CA" w14:textId="0941B178" w:rsidR="00097C25" w:rsidRPr="001B2C4B" w:rsidRDefault="00311DF6" w:rsidP="001B2C4B">
      <w:pPr>
        <w:pStyle w:val="ListParagraph"/>
        <w:numPr>
          <w:ilvl w:val="0"/>
          <w:numId w:val="11"/>
        </w:numPr>
        <w:spacing w:before="100" w:beforeAutospacing="1"/>
        <w:ind w:left="360"/>
        <w:jc w:val="both"/>
        <w:rPr>
          <w:lang w:val="en-US"/>
        </w:rPr>
      </w:pPr>
      <w:r w:rsidRPr="001B2C4B">
        <w:rPr>
          <w:lang w:val="en-US"/>
        </w:rPr>
        <w:t>Only five</w:t>
      </w:r>
      <w:r w:rsidR="008632E4" w:rsidRPr="001B2C4B">
        <w:rPr>
          <w:lang w:val="en-US"/>
        </w:rPr>
        <w:t xml:space="preserve"> </w:t>
      </w:r>
      <w:r w:rsidR="00B421B5" w:rsidRPr="001B2C4B">
        <w:rPr>
          <w:lang w:val="en-US"/>
        </w:rPr>
        <w:t xml:space="preserve">countries </w:t>
      </w:r>
      <w:r w:rsidR="008632E4" w:rsidRPr="001B2C4B">
        <w:rPr>
          <w:lang w:val="en-US"/>
        </w:rPr>
        <w:t xml:space="preserve">have a separate class for land while </w:t>
      </w:r>
      <w:r w:rsidRPr="001B2C4B">
        <w:rPr>
          <w:lang w:val="en-US"/>
        </w:rPr>
        <w:t>five</w:t>
      </w:r>
      <w:r w:rsidR="008632E4" w:rsidRPr="001B2C4B">
        <w:rPr>
          <w:lang w:val="en-US"/>
        </w:rPr>
        <w:t xml:space="preserve"> do not </w:t>
      </w:r>
      <w:r w:rsidR="00B421B5" w:rsidRPr="001B2C4B">
        <w:rPr>
          <w:lang w:val="en-US"/>
        </w:rPr>
        <w:t>which probably reflects the traditional view that land is owned by the state</w:t>
      </w:r>
      <w:r w:rsidRPr="001B2C4B">
        <w:rPr>
          <w:lang w:val="en-US"/>
        </w:rPr>
        <w:t xml:space="preserve"> and does not have a value</w:t>
      </w:r>
      <w:r w:rsidR="00595E88" w:rsidRPr="001B2C4B">
        <w:rPr>
          <w:lang w:val="en-US"/>
        </w:rPr>
        <w:t>;</w:t>
      </w:r>
      <w:r w:rsidR="008632E4" w:rsidRPr="001B2C4B">
        <w:rPr>
          <w:lang w:val="en-US"/>
        </w:rPr>
        <w:t xml:space="preserve"> </w:t>
      </w:r>
    </w:p>
    <w:p w14:paraId="7E72B3DC" w14:textId="5708695B" w:rsidR="007C3CD5" w:rsidRPr="001B2C4B" w:rsidRDefault="00311DF6" w:rsidP="001B2C4B">
      <w:pPr>
        <w:pStyle w:val="ListParagraph"/>
        <w:numPr>
          <w:ilvl w:val="0"/>
          <w:numId w:val="11"/>
        </w:numPr>
        <w:spacing w:before="100" w:beforeAutospacing="1"/>
        <w:ind w:left="360"/>
        <w:jc w:val="both"/>
        <w:rPr>
          <w:lang w:val="en-US"/>
        </w:rPr>
      </w:pPr>
      <w:r w:rsidRPr="001B2C4B">
        <w:rPr>
          <w:lang w:val="en-US"/>
        </w:rPr>
        <w:t>Nine countries have buildings either as a single class or have a number of classes which map to this description – included here are residential, recreational and commercial buildings</w:t>
      </w:r>
      <w:r w:rsidR="00595E88" w:rsidRPr="001B2C4B">
        <w:rPr>
          <w:lang w:val="en-US"/>
        </w:rPr>
        <w:t>;</w:t>
      </w:r>
    </w:p>
    <w:p w14:paraId="6C5D6BB8" w14:textId="78BEAD35" w:rsidR="007C3CD5" w:rsidRPr="001B2C4B" w:rsidRDefault="007C3CD5" w:rsidP="001B2C4B">
      <w:pPr>
        <w:pStyle w:val="ListParagraph"/>
        <w:numPr>
          <w:ilvl w:val="0"/>
          <w:numId w:val="11"/>
        </w:numPr>
        <w:spacing w:before="100" w:beforeAutospacing="1"/>
        <w:ind w:left="360"/>
        <w:jc w:val="both"/>
        <w:rPr>
          <w:lang w:val="en-US"/>
        </w:rPr>
      </w:pPr>
      <w:r w:rsidRPr="001B2C4B">
        <w:rPr>
          <w:lang w:val="en-US"/>
        </w:rPr>
        <w:t xml:space="preserve">Eight countries appear to have classes that correlate with </w:t>
      </w:r>
      <w:r w:rsidR="00595E88" w:rsidRPr="001B2C4B">
        <w:rPr>
          <w:lang w:val="en-US"/>
        </w:rPr>
        <w:t>S</w:t>
      </w:r>
      <w:r w:rsidRPr="001B2C4B">
        <w:rPr>
          <w:lang w:val="en-US"/>
        </w:rPr>
        <w:t xml:space="preserve">tructures in GFSM2001. </w:t>
      </w:r>
      <w:r w:rsidR="00311DF6" w:rsidRPr="001B2C4B">
        <w:rPr>
          <w:lang w:val="en-US"/>
        </w:rPr>
        <w:t xml:space="preserve"> </w:t>
      </w:r>
      <w:r w:rsidRPr="001B2C4B">
        <w:rPr>
          <w:lang w:val="en-US"/>
        </w:rPr>
        <w:t>Again descriptions varied and included, transmission equipment, non-financial assets under construction (which may be broader than structures</w:t>
      </w:r>
      <w:r w:rsidR="00D1024E" w:rsidRPr="001B2C4B">
        <w:rPr>
          <w:lang w:val="en-US"/>
        </w:rPr>
        <w:t>)</w:t>
      </w:r>
      <w:r w:rsidRPr="001B2C4B">
        <w:rPr>
          <w:lang w:val="en-US"/>
        </w:rPr>
        <w:t>. It is likely that the attempt to map to structures in GFSM2001 is not entirely successful given the translation of the descriptions</w:t>
      </w:r>
      <w:r w:rsidR="00595E88" w:rsidRPr="001B2C4B">
        <w:rPr>
          <w:lang w:val="en-US"/>
        </w:rPr>
        <w:t>;</w:t>
      </w:r>
      <w:r w:rsidRPr="001B2C4B">
        <w:rPr>
          <w:lang w:val="en-US"/>
        </w:rPr>
        <w:t xml:space="preserve"> </w:t>
      </w:r>
    </w:p>
    <w:p w14:paraId="05EA7C20" w14:textId="1EA3868C" w:rsidR="007C3CD5" w:rsidRPr="001B2C4B" w:rsidRDefault="007C3CD5" w:rsidP="001B2C4B">
      <w:pPr>
        <w:pStyle w:val="ListParagraph"/>
        <w:numPr>
          <w:ilvl w:val="0"/>
          <w:numId w:val="11"/>
        </w:numPr>
        <w:spacing w:before="100" w:beforeAutospacing="1"/>
        <w:ind w:left="360"/>
        <w:jc w:val="both"/>
        <w:rPr>
          <w:lang w:val="en-US"/>
        </w:rPr>
      </w:pPr>
      <w:r w:rsidRPr="001B2C4B">
        <w:rPr>
          <w:lang w:val="en-US"/>
        </w:rPr>
        <w:t>Seven</w:t>
      </w:r>
      <w:r w:rsidR="00311DF6" w:rsidRPr="001B2C4B">
        <w:rPr>
          <w:lang w:val="en-US"/>
        </w:rPr>
        <w:t xml:space="preserve"> </w:t>
      </w:r>
      <w:r w:rsidRPr="001B2C4B">
        <w:rPr>
          <w:lang w:val="en-US"/>
        </w:rPr>
        <w:t xml:space="preserve">countries included a </w:t>
      </w:r>
      <w:r w:rsidR="00A040C4" w:rsidRPr="001B2C4B">
        <w:rPr>
          <w:lang w:val="en-US"/>
        </w:rPr>
        <w:t>description that</w:t>
      </w:r>
      <w:r w:rsidRPr="001B2C4B">
        <w:rPr>
          <w:lang w:val="en-US"/>
        </w:rPr>
        <w:t xml:space="preserve"> mapped to transport equipment in GFSM2001. One country included communication equipment in the same class; </w:t>
      </w:r>
    </w:p>
    <w:p w14:paraId="58C8DEC3" w14:textId="3A144E8D" w:rsidR="007C3CD5" w:rsidRPr="001B2C4B" w:rsidRDefault="007C3CD5" w:rsidP="001B2C4B">
      <w:pPr>
        <w:pStyle w:val="ListParagraph"/>
        <w:numPr>
          <w:ilvl w:val="0"/>
          <w:numId w:val="11"/>
        </w:numPr>
        <w:spacing w:before="100" w:beforeAutospacing="1"/>
        <w:ind w:left="360"/>
        <w:jc w:val="both"/>
        <w:rPr>
          <w:lang w:val="en-US"/>
        </w:rPr>
      </w:pPr>
      <w:r w:rsidRPr="001B2C4B">
        <w:rPr>
          <w:lang w:val="en-US"/>
        </w:rPr>
        <w:t xml:space="preserve">Nine countries included </w:t>
      </w:r>
      <w:r w:rsidR="00A040C4" w:rsidRPr="001B2C4B">
        <w:rPr>
          <w:lang w:val="en-US"/>
        </w:rPr>
        <w:t>descriptions that</w:t>
      </w:r>
      <w:r w:rsidRPr="001B2C4B">
        <w:rPr>
          <w:lang w:val="en-US"/>
        </w:rPr>
        <w:t xml:space="preserve"> </w:t>
      </w:r>
      <w:r w:rsidR="000810A8" w:rsidRPr="001B2C4B">
        <w:rPr>
          <w:lang w:val="en-US"/>
        </w:rPr>
        <w:t xml:space="preserve">map </w:t>
      </w:r>
      <w:r w:rsidR="00595E88" w:rsidRPr="001B2C4B">
        <w:rPr>
          <w:lang w:val="en-US"/>
        </w:rPr>
        <w:t xml:space="preserve">to </w:t>
      </w:r>
      <w:r w:rsidR="000810A8" w:rsidRPr="001B2C4B">
        <w:rPr>
          <w:lang w:val="en-US"/>
        </w:rPr>
        <w:t xml:space="preserve">other machinery and equipment </w:t>
      </w:r>
      <w:r w:rsidRPr="001B2C4B">
        <w:rPr>
          <w:lang w:val="en-US"/>
        </w:rPr>
        <w:t xml:space="preserve">in GFSM2001. Various descriptions were present including plant, equipment, instruments, tools, computers </w:t>
      </w:r>
      <w:r w:rsidR="00563A6A" w:rsidRPr="001B2C4B">
        <w:rPr>
          <w:lang w:val="en-US"/>
        </w:rPr>
        <w:t>and equipment</w:t>
      </w:r>
      <w:r w:rsidRPr="001B2C4B">
        <w:rPr>
          <w:lang w:val="en-US"/>
        </w:rPr>
        <w:t xml:space="preserve"> for maintaining offices;</w:t>
      </w:r>
    </w:p>
    <w:p w14:paraId="0B74BE31" w14:textId="4E795EAE" w:rsidR="00D1024E" w:rsidRPr="001B2C4B" w:rsidRDefault="00D1024E" w:rsidP="001B2C4B">
      <w:pPr>
        <w:pStyle w:val="ListParagraph"/>
        <w:numPr>
          <w:ilvl w:val="0"/>
          <w:numId w:val="11"/>
        </w:numPr>
        <w:spacing w:before="100" w:beforeAutospacing="1"/>
        <w:ind w:left="360"/>
        <w:jc w:val="both"/>
        <w:rPr>
          <w:lang w:val="en-US"/>
        </w:rPr>
      </w:pPr>
      <w:r w:rsidRPr="001B2C4B">
        <w:rPr>
          <w:lang w:val="en-US"/>
        </w:rPr>
        <w:t>No country currently has a separate class of assets for military equipment</w:t>
      </w:r>
      <w:r w:rsidR="00595E88" w:rsidRPr="001B2C4B">
        <w:footnoteReference w:id="7"/>
      </w:r>
      <w:r w:rsidRPr="001B2C4B">
        <w:rPr>
          <w:lang w:val="en-US"/>
        </w:rPr>
        <w:t>, although it has been raised as an issue by a number of countries;</w:t>
      </w:r>
    </w:p>
    <w:p w14:paraId="24238956" w14:textId="027AD3C6" w:rsidR="007C3CD5" w:rsidRPr="001B2C4B" w:rsidRDefault="007C3CD5" w:rsidP="001B2C4B">
      <w:pPr>
        <w:pStyle w:val="ListParagraph"/>
        <w:numPr>
          <w:ilvl w:val="0"/>
          <w:numId w:val="11"/>
        </w:numPr>
        <w:spacing w:before="100" w:beforeAutospacing="1"/>
        <w:ind w:left="360"/>
        <w:jc w:val="both"/>
        <w:rPr>
          <w:lang w:val="en-US"/>
        </w:rPr>
      </w:pPr>
      <w:r w:rsidRPr="001B2C4B">
        <w:rPr>
          <w:lang w:val="en-US"/>
        </w:rPr>
        <w:t>Just t</w:t>
      </w:r>
      <w:r w:rsidR="0055600B" w:rsidRPr="001B2C4B">
        <w:rPr>
          <w:lang w:val="en-US"/>
        </w:rPr>
        <w:t>hree</w:t>
      </w:r>
      <w:r w:rsidRPr="001B2C4B">
        <w:rPr>
          <w:lang w:val="en-US"/>
        </w:rPr>
        <w:t xml:space="preserve"> countries have subsoil assets as a class</w:t>
      </w:r>
      <w:r w:rsidR="0055600B" w:rsidRPr="001B2C4B">
        <w:rPr>
          <w:lang w:val="en-US"/>
        </w:rPr>
        <w:t xml:space="preserve"> although one description</w:t>
      </w:r>
      <w:r w:rsidR="00D1024E" w:rsidRPr="001B2C4B">
        <w:rPr>
          <w:lang w:val="en-US"/>
        </w:rPr>
        <w:t xml:space="preserve"> included here,</w:t>
      </w:r>
      <w:r w:rsidR="0055600B" w:rsidRPr="001B2C4B">
        <w:rPr>
          <w:lang w:val="en-US"/>
        </w:rPr>
        <w:t xml:space="preserve"> natural resources</w:t>
      </w:r>
      <w:r w:rsidR="00D1024E" w:rsidRPr="001B2C4B">
        <w:rPr>
          <w:lang w:val="en-US"/>
        </w:rPr>
        <w:t>,</w:t>
      </w:r>
      <w:r w:rsidR="0055600B" w:rsidRPr="001B2C4B">
        <w:rPr>
          <w:lang w:val="en-US"/>
        </w:rPr>
        <w:t xml:space="preserve"> may not be correctly mapped</w:t>
      </w:r>
      <w:r w:rsidRPr="001B2C4B">
        <w:rPr>
          <w:lang w:val="en-US"/>
        </w:rPr>
        <w:t xml:space="preserve">;  </w:t>
      </w:r>
    </w:p>
    <w:p w14:paraId="405CE2F8" w14:textId="122D399B" w:rsidR="0055600B" w:rsidRPr="001B2C4B" w:rsidRDefault="007C3CD5" w:rsidP="001B2C4B">
      <w:pPr>
        <w:pStyle w:val="ListParagraph"/>
        <w:numPr>
          <w:ilvl w:val="0"/>
          <w:numId w:val="11"/>
        </w:numPr>
        <w:spacing w:before="100" w:beforeAutospacing="1"/>
        <w:ind w:left="360"/>
        <w:jc w:val="both"/>
        <w:rPr>
          <w:lang w:val="en-US"/>
        </w:rPr>
      </w:pPr>
      <w:r w:rsidRPr="001B2C4B">
        <w:rPr>
          <w:lang w:val="en-US"/>
        </w:rPr>
        <w:t>Seven countries ha</w:t>
      </w:r>
      <w:r w:rsidR="000810A8" w:rsidRPr="001B2C4B">
        <w:rPr>
          <w:lang w:val="en-US"/>
        </w:rPr>
        <w:t>ve</w:t>
      </w:r>
      <w:r w:rsidR="008A1AEE">
        <w:rPr>
          <w:lang w:val="en-US"/>
        </w:rPr>
        <w:t xml:space="preserve"> </w:t>
      </w:r>
      <w:r w:rsidR="00A040C4">
        <w:rPr>
          <w:lang w:val="en-US"/>
        </w:rPr>
        <w:t xml:space="preserve">descriptions </w:t>
      </w:r>
      <w:r w:rsidR="00A040C4" w:rsidRPr="001B2C4B">
        <w:rPr>
          <w:lang w:val="en-US"/>
        </w:rPr>
        <w:t>that</w:t>
      </w:r>
      <w:r w:rsidRPr="001B2C4B">
        <w:rPr>
          <w:lang w:val="en-US"/>
        </w:rPr>
        <w:t xml:space="preserve"> closely aligned with cultivated assets in GFSM2001. These included: self generating and regenerating assets, </w:t>
      </w:r>
      <w:r w:rsidR="00477CD4" w:rsidRPr="001B2C4B">
        <w:rPr>
          <w:lang w:val="en-US"/>
        </w:rPr>
        <w:t>productive and draft animals, fruit trees, vines and multi</w:t>
      </w:r>
      <w:r w:rsidR="00595E88" w:rsidRPr="001B2C4B">
        <w:rPr>
          <w:lang w:val="en-US"/>
        </w:rPr>
        <w:t>-</w:t>
      </w:r>
      <w:r w:rsidR="00477CD4" w:rsidRPr="001B2C4B">
        <w:rPr>
          <w:lang w:val="en-US"/>
        </w:rPr>
        <w:t>annual plantations and livestock;</w:t>
      </w:r>
    </w:p>
    <w:p w14:paraId="4F465F4D" w14:textId="7E3BB0D3" w:rsidR="0055600B" w:rsidRPr="001B2C4B" w:rsidRDefault="009E47FB" w:rsidP="001B2C4B">
      <w:pPr>
        <w:pStyle w:val="ListParagraph"/>
        <w:numPr>
          <w:ilvl w:val="0"/>
          <w:numId w:val="11"/>
        </w:numPr>
        <w:spacing w:before="100" w:beforeAutospacing="1"/>
        <w:ind w:left="360"/>
        <w:jc w:val="both"/>
        <w:rPr>
          <w:lang w:val="en-US"/>
        </w:rPr>
      </w:pPr>
      <w:r w:rsidRPr="001B2C4B">
        <w:rPr>
          <w:lang w:val="en-US"/>
        </w:rPr>
        <w:t>F</w:t>
      </w:r>
      <w:r w:rsidR="0055600B" w:rsidRPr="001B2C4B">
        <w:rPr>
          <w:lang w:val="en-US"/>
        </w:rPr>
        <w:t>our</w:t>
      </w:r>
      <w:r w:rsidRPr="001B2C4B">
        <w:rPr>
          <w:lang w:val="en-US"/>
        </w:rPr>
        <w:t xml:space="preserve"> countries had classes that mapped closely with </w:t>
      </w:r>
      <w:r w:rsidR="000810A8" w:rsidRPr="001B2C4B">
        <w:rPr>
          <w:lang w:val="en-US"/>
        </w:rPr>
        <w:t xml:space="preserve">the other non-produced assets </w:t>
      </w:r>
      <w:r w:rsidRPr="001B2C4B">
        <w:rPr>
          <w:lang w:val="en-US"/>
        </w:rPr>
        <w:t xml:space="preserve">description from GFSM2001, although one country had </w:t>
      </w:r>
      <w:r w:rsidR="0055600B" w:rsidRPr="001B2C4B">
        <w:rPr>
          <w:lang w:val="en-US"/>
        </w:rPr>
        <w:t xml:space="preserve">the description </w:t>
      </w:r>
      <w:r w:rsidR="00563A6A" w:rsidRPr="001B2C4B">
        <w:rPr>
          <w:lang w:val="en-US"/>
        </w:rPr>
        <w:t>self-generating</w:t>
      </w:r>
      <w:r w:rsidR="0055600B" w:rsidRPr="001B2C4B">
        <w:rPr>
          <w:lang w:val="en-US"/>
        </w:rPr>
        <w:t xml:space="preserve"> and regenerating </w:t>
      </w:r>
      <w:r w:rsidR="00A040C4" w:rsidRPr="001B2C4B">
        <w:rPr>
          <w:lang w:val="en-US"/>
        </w:rPr>
        <w:t>assets that</w:t>
      </w:r>
      <w:r w:rsidR="0055600B" w:rsidRPr="001B2C4B">
        <w:rPr>
          <w:lang w:val="en-US"/>
        </w:rPr>
        <w:t xml:space="preserve"> could also be allocated to the previous description category. Other descriptions included biological assets, other non-produced assets, and lan</w:t>
      </w:r>
      <w:r w:rsidR="00595E88" w:rsidRPr="001B2C4B">
        <w:rPr>
          <w:lang w:val="en-US"/>
        </w:rPr>
        <w:t>ds forests and perennials (land</w:t>
      </w:r>
      <w:r w:rsidR="0055600B" w:rsidRPr="001B2C4B">
        <w:rPr>
          <w:lang w:val="en-US"/>
        </w:rPr>
        <w:t xml:space="preserve"> is incorrectly mapped</w:t>
      </w:r>
      <w:r w:rsidR="00D1024E" w:rsidRPr="001B2C4B">
        <w:rPr>
          <w:lang w:val="en-US"/>
        </w:rPr>
        <w:t xml:space="preserve"> in this case</w:t>
      </w:r>
      <w:r w:rsidR="0055600B" w:rsidRPr="001B2C4B">
        <w:rPr>
          <w:lang w:val="en-US"/>
        </w:rPr>
        <w:t>);</w:t>
      </w:r>
    </w:p>
    <w:p w14:paraId="3B9D3996" w14:textId="787F67C8" w:rsidR="0055600B" w:rsidRPr="001B2C4B" w:rsidRDefault="0055600B" w:rsidP="001B2C4B">
      <w:pPr>
        <w:pStyle w:val="ListParagraph"/>
        <w:numPr>
          <w:ilvl w:val="0"/>
          <w:numId w:val="11"/>
        </w:numPr>
        <w:spacing w:before="100" w:beforeAutospacing="1"/>
        <w:ind w:left="360"/>
        <w:jc w:val="both"/>
        <w:rPr>
          <w:lang w:val="en-US"/>
        </w:rPr>
      </w:pPr>
      <w:r w:rsidRPr="001B2C4B">
        <w:rPr>
          <w:lang w:val="en-US"/>
        </w:rPr>
        <w:t>Two countries had stores or inventories as a class, specifically Medicaments and dressing/</w:t>
      </w:r>
      <w:r w:rsidR="00D1024E" w:rsidRPr="001B2C4B">
        <w:rPr>
          <w:lang w:val="en-US"/>
        </w:rPr>
        <w:t>f</w:t>
      </w:r>
      <w:r w:rsidRPr="001B2C4B">
        <w:rPr>
          <w:lang w:val="en-US"/>
        </w:rPr>
        <w:t>ood products/</w:t>
      </w:r>
      <w:r w:rsidR="00D1024E" w:rsidRPr="001B2C4B">
        <w:rPr>
          <w:lang w:val="en-US"/>
        </w:rPr>
        <w:t>m</w:t>
      </w:r>
      <w:r w:rsidRPr="001B2C4B">
        <w:rPr>
          <w:lang w:val="en-US"/>
        </w:rPr>
        <w:t>otor fuels/</w:t>
      </w:r>
      <w:r w:rsidR="00D1024E" w:rsidRPr="001B2C4B">
        <w:rPr>
          <w:lang w:val="en-US"/>
        </w:rPr>
        <w:t>c</w:t>
      </w:r>
      <w:r w:rsidRPr="001B2C4B">
        <w:rPr>
          <w:lang w:val="en-US"/>
        </w:rPr>
        <w:t xml:space="preserve">onstruction material </w:t>
      </w:r>
      <w:r w:rsidR="00D1024E" w:rsidRPr="001B2C4B">
        <w:rPr>
          <w:lang w:val="en-US"/>
        </w:rPr>
        <w:t>for</w:t>
      </w:r>
      <w:r w:rsidRPr="001B2C4B">
        <w:rPr>
          <w:lang w:val="en-US"/>
        </w:rPr>
        <w:t xml:space="preserve"> one country and Linen, bed things, clothes and footwear</w:t>
      </w:r>
      <w:r w:rsidR="00D1024E" w:rsidRPr="001B2C4B">
        <w:rPr>
          <w:lang w:val="en-US"/>
        </w:rPr>
        <w:t xml:space="preserve"> for another;</w:t>
      </w:r>
    </w:p>
    <w:p w14:paraId="566A4F39" w14:textId="2F0D1216" w:rsidR="0055600B" w:rsidRPr="001B2C4B" w:rsidRDefault="0055600B" w:rsidP="001B2C4B">
      <w:pPr>
        <w:pStyle w:val="ListParagraph"/>
        <w:numPr>
          <w:ilvl w:val="0"/>
          <w:numId w:val="11"/>
        </w:numPr>
        <w:spacing w:before="100" w:beforeAutospacing="1"/>
        <w:ind w:left="360"/>
        <w:jc w:val="both"/>
        <w:rPr>
          <w:lang w:val="en-US"/>
        </w:rPr>
      </w:pPr>
      <w:r w:rsidRPr="001B2C4B">
        <w:rPr>
          <w:lang w:val="en-US"/>
        </w:rPr>
        <w:t>Seven countries had intangible assets</w:t>
      </w:r>
      <w:r w:rsidR="00D1024E" w:rsidRPr="001B2C4B">
        <w:rPr>
          <w:lang w:val="en-US"/>
        </w:rPr>
        <w:t xml:space="preserve"> as a class</w:t>
      </w:r>
      <w:r w:rsidRPr="001B2C4B">
        <w:rPr>
          <w:lang w:val="en-US"/>
        </w:rPr>
        <w:t>, with one country specifically identifying long term intangibles  - no distinction is made between intangible produced and non-produced assets</w:t>
      </w:r>
      <w:r w:rsidR="00720B47" w:rsidRPr="001B2C4B">
        <w:rPr>
          <w:lang w:val="en-US"/>
        </w:rPr>
        <w:t xml:space="preserve"> which is the case in GFSM</w:t>
      </w:r>
      <w:r w:rsidR="00D1024E" w:rsidRPr="001B2C4B">
        <w:rPr>
          <w:lang w:val="en-US"/>
        </w:rPr>
        <w:t>;</w:t>
      </w:r>
      <w:r w:rsidR="00720B47" w:rsidRPr="001B2C4B">
        <w:rPr>
          <w:lang w:val="en-US"/>
        </w:rPr>
        <w:t xml:space="preserve"> and</w:t>
      </w:r>
    </w:p>
    <w:p w14:paraId="1520FB20" w14:textId="3D185D06" w:rsidR="0055600B" w:rsidRPr="001B2C4B" w:rsidRDefault="0055600B" w:rsidP="001B2C4B">
      <w:pPr>
        <w:pStyle w:val="ListParagraph"/>
        <w:numPr>
          <w:ilvl w:val="0"/>
          <w:numId w:val="11"/>
        </w:numPr>
        <w:spacing w:before="100" w:beforeAutospacing="1"/>
        <w:ind w:left="360"/>
        <w:jc w:val="both"/>
        <w:rPr>
          <w:lang w:val="en-US"/>
        </w:rPr>
      </w:pPr>
      <w:r w:rsidRPr="001B2C4B">
        <w:rPr>
          <w:lang w:val="en-US"/>
        </w:rPr>
        <w:t>Two countries have a class for valuables.</w:t>
      </w:r>
    </w:p>
    <w:p w14:paraId="2D4EA4E3" w14:textId="77777777" w:rsidR="0055600B" w:rsidRPr="001B2C4B" w:rsidRDefault="0055600B" w:rsidP="001B2C4B">
      <w:pPr>
        <w:spacing w:before="100" w:beforeAutospacing="1"/>
        <w:ind w:left="-360"/>
        <w:jc w:val="both"/>
        <w:rPr>
          <w:lang w:val="en-US"/>
        </w:rPr>
      </w:pPr>
    </w:p>
    <w:p w14:paraId="7F9665FE" w14:textId="14CFD9E6" w:rsidR="0055600B" w:rsidRPr="001B2C4B" w:rsidRDefault="0055600B" w:rsidP="001B2C4B">
      <w:pPr>
        <w:spacing w:before="100" w:beforeAutospacing="1"/>
        <w:ind w:left="-709"/>
        <w:rPr>
          <w:lang w:val="en-US"/>
        </w:rPr>
      </w:pPr>
      <w:r w:rsidRPr="001B2C4B">
        <w:rPr>
          <w:lang w:val="en-US"/>
        </w:rPr>
        <w:lastRenderedPageBreak/>
        <w:t xml:space="preserve">In addition four countries had library books as a </w:t>
      </w:r>
      <w:r w:rsidR="00A040C4" w:rsidRPr="001B2C4B">
        <w:rPr>
          <w:lang w:val="en-US"/>
        </w:rPr>
        <w:t>class that</w:t>
      </w:r>
      <w:r w:rsidRPr="001B2C4B">
        <w:rPr>
          <w:lang w:val="en-US"/>
        </w:rPr>
        <w:t xml:space="preserve"> is not a specific </w:t>
      </w:r>
      <w:r w:rsidR="00720B47" w:rsidRPr="001B2C4B">
        <w:rPr>
          <w:lang w:val="en-US"/>
        </w:rPr>
        <w:t xml:space="preserve">a </w:t>
      </w:r>
      <w:r w:rsidRPr="001B2C4B">
        <w:rPr>
          <w:lang w:val="en-US"/>
        </w:rPr>
        <w:t xml:space="preserve">category for GFSM. In addition one country had heritage assets and another a specific class for investment property. There </w:t>
      </w:r>
      <w:r w:rsidR="00563A6A" w:rsidRPr="001B2C4B">
        <w:rPr>
          <w:lang w:val="en-US"/>
        </w:rPr>
        <w:t>was</w:t>
      </w:r>
      <w:r w:rsidRPr="001B2C4B">
        <w:rPr>
          <w:lang w:val="en-US"/>
        </w:rPr>
        <w:t xml:space="preserve"> also a range</w:t>
      </w:r>
      <w:r w:rsidR="00B51B2E" w:rsidRPr="001B2C4B">
        <w:rPr>
          <w:lang w:val="en-US"/>
        </w:rPr>
        <w:t xml:space="preserve"> of  “other” classes where the description appeared to</w:t>
      </w:r>
      <w:r w:rsidRPr="001B2C4B">
        <w:rPr>
          <w:lang w:val="en-US"/>
        </w:rPr>
        <w:t xml:space="preserve"> c</w:t>
      </w:r>
      <w:r w:rsidR="00720B47" w:rsidRPr="001B2C4B">
        <w:rPr>
          <w:lang w:val="en-US"/>
        </w:rPr>
        <w:t>ros</w:t>
      </w:r>
      <w:r w:rsidR="00B51B2E" w:rsidRPr="001B2C4B">
        <w:rPr>
          <w:lang w:val="en-US"/>
        </w:rPr>
        <w:t>s</w:t>
      </w:r>
      <w:r w:rsidRPr="001B2C4B">
        <w:rPr>
          <w:lang w:val="en-US"/>
        </w:rPr>
        <w:t>over two or more GFSM2001 classes.</w:t>
      </w:r>
    </w:p>
    <w:p w14:paraId="0D24B509" w14:textId="596CAA3D" w:rsidR="00AD79CB" w:rsidRPr="001B2C4B" w:rsidRDefault="00563A6A" w:rsidP="001B2C4B">
      <w:pPr>
        <w:spacing w:before="100" w:beforeAutospacing="1"/>
        <w:ind w:left="-709"/>
        <w:rPr>
          <w:i/>
          <w:lang w:val="en-US"/>
        </w:rPr>
      </w:pPr>
      <w:r w:rsidRPr="001B2C4B">
        <w:rPr>
          <w:i/>
          <w:lang w:val="en-US"/>
        </w:rPr>
        <w:t xml:space="preserve">Table </w:t>
      </w:r>
      <w:r w:rsidR="004A34F5" w:rsidRPr="001B2C4B">
        <w:rPr>
          <w:i/>
          <w:lang w:val="en-US"/>
        </w:rPr>
        <w:t>1</w:t>
      </w:r>
      <w:r w:rsidRPr="001B2C4B">
        <w:rPr>
          <w:i/>
          <w:lang w:val="en-US"/>
        </w:rPr>
        <w:t xml:space="preserve"> suggests</w:t>
      </w:r>
      <w:r w:rsidR="000810A8" w:rsidRPr="001B2C4B">
        <w:rPr>
          <w:i/>
          <w:lang w:val="en-US"/>
        </w:rPr>
        <w:t xml:space="preserve"> a reasonably strong correlation between most countries and GFSM2001 with seven classes reflected in five or more countries. In addition one further class </w:t>
      </w:r>
      <w:r w:rsidR="00AD79CB" w:rsidRPr="001B2C4B">
        <w:rPr>
          <w:i/>
          <w:lang w:val="en-US"/>
        </w:rPr>
        <w:t xml:space="preserve">inventory appeared in four countries along with an additional non-GFSM class for library books. This would indicate that there would be benefits in creating a general set of classes in a policy manual and exploring common policy and procedural issues for each class.  </w:t>
      </w:r>
      <w:r w:rsidR="0055600B" w:rsidRPr="001B2C4B">
        <w:rPr>
          <w:i/>
          <w:lang w:val="en-US"/>
        </w:rPr>
        <w:t xml:space="preserve"> </w:t>
      </w:r>
      <w:r w:rsidR="007C3CD5" w:rsidRPr="001B2C4B">
        <w:rPr>
          <w:i/>
          <w:lang w:val="en-US"/>
        </w:rPr>
        <w:t xml:space="preserve">    </w:t>
      </w:r>
    </w:p>
    <w:p w14:paraId="6165FD56" w14:textId="5943AFC8" w:rsidR="00AD79CB" w:rsidRPr="004A34F5" w:rsidRDefault="00AD79CB" w:rsidP="004A34F5">
      <w:pPr>
        <w:spacing w:before="100" w:beforeAutospacing="1"/>
        <w:ind w:left="-709"/>
        <w:rPr>
          <w:lang w:val="en-US"/>
        </w:rPr>
      </w:pPr>
      <w:r w:rsidRPr="004A34F5">
        <w:rPr>
          <w:lang w:val="en-US"/>
        </w:rPr>
        <w:t>A further element included in the request for information on classes relates to the method for depreciation and the time period to be applied. Six countries provided responses in relation to the classes</w:t>
      </w:r>
      <w:r w:rsidR="00931463">
        <w:rPr>
          <w:lang w:val="en-US"/>
        </w:rPr>
        <w:t>, although two countries did not specify depreciation rates</w:t>
      </w:r>
      <w:r w:rsidRPr="004A34F5">
        <w:rPr>
          <w:lang w:val="en-US"/>
        </w:rPr>
        <w:t xml:space="preserve">. Table </w:t>
      </w:r>
      <w:r w:rsidR="00595E88">
        <w:rPr>
          <w:lang w:val="en-US"/>
        </w:rPr>
        <w:t>2</w:t>
      </w:r>
      <w:r w:rsidRPr="004A34F5">
        <w:rPr>
          <w:lang w:val="en-US"/>
        </w:rPr>
        <w:t xml:space="preserve"> uses the same GFSM classes </w:t>
      </w:r>
      <w:r w:rsidR="00720B47" w:rsidRPr="004A34F5">
        <w:rPr>
          <w:lang w:val="en-US"/>
        </w:rPr>
        <w:t xml:space="preserve">from Table </w:t>
      </w:r>
      <w:r w:rsidR="00595E88">
        <w:rPr>
          <w:lang w:val="en-US"/>
        </w:rPr>
        <w:t>1</w:t>
      </w:r>
      <w:r w:rsidRPr="004A34F5">
        <w:rPr>
          <w:lang w:val="en-US"/>
        </w:rPr>
        <w:t xml:space="preserve"> to group the responses for the purposes of </w:t>
      </w:r>
      <w:r w:rsidR="00563A6A" w:rsidRPr="004A34F5">
        <w:rPr>
          <w:lang w:val="en-US"/>
        </w:rPr>
        <w:t>comparison</w:t>
      </w:r>
      <w:r w:rsidR="001E5D08">
        <w:rPr>
          <w:lang w:val="en-US"/>
        </w:rPr>
        <w:t>. Only items where a country reported the depreciation rates are included</w:t>
      </w:r>
      <w:r w:rsidRPr="004A34F5">
        <w:rPr>
          <w:lang w:val="en-US"/>
        </w:rPr>
        <w:t>.</w:t>
      </w:r>
      <w:r w:rsidR="00931463">
        <w:rPr>
          <w:lang w:val="en-US"/>
        </w:rPr>
        <w:t xml:space="preserve"> With one exception straight line depreciation was applied. The one exception related to Serbia’s use of a declining balance approach for intangible long-term assets. </w:t>
      </w:r>
    </w:p>
    <w:p w14:paraId="5441D29D" w14:textId="4133AFB0" w:rsidR="00AD79CB" w:rsidRPr="001B2C4B" w:rsidRDefault="00AD79CB" w:rsidP="001B2C4B">
      <w:pPr>
        <w:spacing w:before="100" w:beforeAutospacing="1"/>
        <w:ind w:left="-709" w:firstLine="142"/>
        <w:rPr>
          <w:b/>
          <w:i/>
          <w:lang w:val="en-US"/>
        </w:rPr>
      </w:pPr>
      <w:r w:rsidRPr="00720B47">
        <w:rPr>
          <w:b/>
          <w:i/>
          <w:lang w:val="en-US"/>
        </w:rPr>
        <w:t xml:space="preserve"> </w:t>
      </w:r>
      <w:r w:rsidR="00720B47" w:rsidRPr="00720B47">
        <w:rPr>
          <w:b/>
          <w:i/>
          <w:lang w:val="en-US"/>
        </w:rPr>
        <w:t xml:space="preserve">Table </w:t>
      </w:r>
      <w:r w:rsidR="004A34F5">
        <w:rPr>
          <w:b/>
          <w:i/>
          <w:lang w:val="en-US"/>
        </w:rPr>
        <w:t>2</w:t>
      </w:r>
      <w:r w:rsidR="00720B47" w:rsidRPr="00720B47">
        <w:rPr>
          <w:b/>
          <w:i/>
          <w:lang w:val="en-US"/>
        </w:rPr>
        <w:t xml:space="preserve"> – Depreciation of Assets – Country comparison</w:t>
      </w:r>
    </w:p>
    <w:tbl>
      <w:tblPr>
        <w:tblW w:w="3229" w:type="pct"/>
        <w:tblInd w:w="-601" w:type="dxa"/>
        <w:tblLayout w:type="fixed"/>
        <w:tblLook w:val="04A0" w:firstRow="1" w:lastRow="0" w:firstColumn="1" w:lastColumn="0" w:noHBand="0" w:noVBand="1"/>
      </w:tblPr>
      <w:tblGrid>
        <w:gridCol w:w="321"/>
        <w:gridCol w:w="1277"/>
        <w:gridCol w:w="833"/>
        <w:gridCol w:w="862"/>
        <w:gridCol w:w="862"/>
        <w:gridCol w:w="818"/>
        <w:gridCol w:w="771"/>
        <w:gridCol w:w="803"/>
      </w:tblGrid>
      <w:tr w:rsidR="001E5D08" w:rsidRPr="00D02A46" w14:paraId="2E403D5B" w14:textId="77777777" w:rsidTr="001E5D08">
        <w:trPr>
          <w:trHeight w:val="480"/>
        </w:trPr>
        <w:tc>
          <w:tcPr>
            <w:tcW w:w="245" w:type="pct"/>
            <w:tcBorders>
              <w:top w:val="single" w:sz="4" w:space="0" w:color="auto"/>
              <w:left w:val="single" w:sz="4" w:space="0" w:color="auto"/>
              <w:bottom w:val="single" w:sz="4" w:space="0" w:color="auto"/>
              <w:right w:val="single" w:sz="4" w:space="0" w:color="auto"/>
            </w:tcBorders>
            <w:shd w:val="clear" w:color="000000" w:fill="DA9694"/>
          </w:tcPr>
          <w:p w14:paraId="131C8C2B" w14:textId="493A05D1"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Country</w:t>
            </w:r>
          </w:p>
        </w:tc>
        <w:tc>
          <w:tcPr>
            <w:tcW w:w="975"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4E9E6969"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Residential</w:t>
            </w:r>
          </w:p>
          <w:p w14:paraId="2E3EBE48" w14:textId="0A7727D9" w:rsidR="001E5D08" w:rsidRPr="00D02A46" w:rsidRDefault="001E5D08" w:rsidP="00AD79CB">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Non-residential Buildings</w:t>
            </w:r>
          </w:p>
        </w:tc>
        <w:tc>
          <w:tcPr>
            <w:tcW w:w="636"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3816A187"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Structures</w:t>
            </w:r>
          </w:p>
        </w:tc>
        <w:tc>
          <w:tcPr>
            <w:tcW w:w="658"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573F9BEC"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Transport Equipment</w:t>
            </w:r>
          </w:p>
        </w:tc>
        <w:tc>
          <w:tcPr>
            <w:tcW w:w="658"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3E4D8B72"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Other Machinery and Equipment</w:t>
            </w:r>
          </w:p>
        </w:tc>
        <w:tc>
          <w:tcPr>
            <w:tcW w:w="625"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445D11A7"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Cultivated Assets</w:t>
            </w:r>
          </w:p>
        </w:tc>
        <w:tc>
          <w:tcPr>
            <w:tcW w:w="589"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26D67C04"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Inventory</w:t>
            </w:r>
          </w:p>
        </w:tc>
        <w:tc>
          <w:tcPr>
            <w:tcW w:w="613" w:type="pct"/>
            <w:tcBorders>
              <w:top w:val="single" w:sz="4" w:space="0" w:color="auto"/>
              <w:left w:val="single" w:sz="4" w:space="0" w:color="auto"/>
              <w:bottom w:val="single" w:sz="4" w:space="0" w:color="auto"/>
              <w:right w:val="single" w:sz="4" w:space="0" w:color="auto"/>
            </w:tcBorders>
            <w:shd w:val="clear" w:color="000000" w:fill="DA9694"/>
            <w:vAlign w:val="bottom"/>
            <w:hideMark/>
          </w:tcPr>
          <w:p w14:paraId="0D6066A5"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r w:rsidRPr="00D02A46">
              <w:rPr>
                <w:rFonts w:ascii="Microsoft Sans Serif" w:hAnsi="Microsoft Sans Serif" w:cs="Microsoft Sans Serif"/>
                <w:color w:val="000000"/>
                <w:sz w:val="16"/>
                <w:szCs w:val="16"/>
                <w:lang w:val="en-AU" w:eastAsia="en-US"/>
              </w:rPr>
              <w:t xml:space="preserve">Intangible Fixed Assets </w:t>
            </w:r>
          </w:p>
        </w:tc>
      </w:tr>
      <w:tr w:rsidR="001E5D08" w:rsidRPr="00D02A46" w14:paraId="21C53CCD" w14:textId="77777777" w:rsidTr="001E5D08">
        <w:trPr>
          <w:trHeight w:val="480"/>
        </w:trPr>
        <w:tc>
          <w:tcPr>
            <w:tcW w:w="245" w:type="pct"/>
            <w:tcBorders>
              <w:top w:val="single" w:sz="4" w:space="0" w:color="auto"/>
              <w:left w:val="single" w:sz="4" w:space="0" w:color="auto"/>
              <w:bottom w:val="single" w:sz="4" w:space="0" w:color="auto"/>
              <w:right w:val="single" w:sz="4" w:space="0" w:color="auto"/>
            </w:tcBorders>
            <w:shd w:val="clear" w:color="000000" w:fill="DA9694"/>
          </w:tcPr>
          <w:p w14:paraId="18E9F10D" w14:textId="66F9D25D" w:rsidR="001E5D08"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Cro</w:t>
            </w:r>
          </w:p>
        </w:tc>
        <w:tc>
          <w:tcPr>
            <w:tcW w:w="975" w:type="pct"/>
            <w:tcBorders>
              <w:top w:val="single" w:sz="4" w:space="0" w:color="auto"/>
              <w:left w:val="single" w:sz="4" w:space="0" w:color="auto"/>
              <w:bottom w:val="single" w:sz="4" w:space="0" w:color="auto"/>
              <w:right w:val="single" w:sz="4" w:space="0" w:color="auto"/>
            </w:tcBorders>
            <w:shd w:val="clear" w:color="000000" w:fill="DA9694"/>
            <w:vAlign w:val="bottom"/>
          </w:tcPr>
          <w:p w14:paraId="34B9B0C5" w14:textId="6025A90A"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1.25-5%</w:t>
            </w:r>
          </w:p>
        </w:tc>
        <w:tc>
          <w:tcPr>
            <w:tcW w:w="636" w:type="pct"/>
            <w:tcBorders>
              <w:top w:val="single" w:sz="4" w:space="0" w:color="auto"/>
              <w:left w:val="single" w:sz="4" w:space="0" w:color="auto"/>
              <w:bottom w:val="single" w:sz="4" w:space="0" w:color="auto"/>
              <w:right w:val="single" w:sz="4" w:space="0" w:color="auto"/>
            </w:tcBorders>
            <w:shd w:val="clear" w:color="000000" w:fill="DA9694"/>
            <w:vAlign w:val="bottom"/>
          </w:tcPr>
          <w:p w14:paraId="52BF3541"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p>
        </w:tc>
        <w:tc>
          <w:tcPr>
            <w:tcW w:w="658" w:type="pct"/>
            <w:tcBorders>
              <w:top w:val="single" w:sz="4" w:space="0" w:color="auto"/>
              <w:left w:val="single" w:sz="4" w:space="0" w:color="auto"/>
              <w:bottom w:val="single" w:sz="4" w:space="0" w:color="auto"/>
              <w:right w:val="single" w:sz="4" w:space="0" w:color="auto"/>
            </w:tcBorders>
            <w:shd w:val="clear" w:color="000000" w:fill="DA9694"/>
            <w:vAlign w:val="bottom"/>
          </w:tcPr>
          <w:p w14:paraId="0C6AE797" w14:textId="360244B3"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5-10%</w:t>
            </w:r>
          </w:p>
        </w:tc>
        <w:tc>
          <w:tcPr>
            <w:tcW w:w="658" w:type="pct"/>
            <w:tcBorders>
              <w:top w:val="single" w:sz="4" w:space="0" w:color="auto"/>
              <w:left w:val="single" w:sz="4" w:space="0" w:color="auto"/>
              <w:bottom w:val="single" w:sz="4" w:space="0" w:color="auto"/>
              <w:right w:val="single" w:sz="4" w:space="0" w:color="auto"/>
            </w:tcBorders>
            <w:shd w:val="clear" w:color="000000" w:fill="DA9694"/>
            <w:vAlign w:val="bottom"/>
          </w:tcPr>
          <w:p w14:paraId="7C4351AF" w14:textId="71FE2493"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12-25%</w:t>
            </w:r>
          </w:p>
        </w:tc>
        <w:tc>
          <w:tcPr>
            <w:tcW w:w="625" w:type="pct"/>
            <w:tcBorders>
              <w:top w:val="single" w:sz="4" w:space="0" w:color="auto"/>
              <w:left w:val="single" w:sz="4" w:space="0" w:color="auto"/>
              <w:bottom w:val="single" w:sz="4" w:space="0" w:color="auto"/>
              <w:right w:val="single" w:sz="4" w:space="0" w:color="auto"/>
            </w:tcBorders>
            <w:shd w:val="clear" w:color="000000" w:fill="DA9694"/>
            <w:vAlign w:val="bottom"/>
          </w:tcPr>
          <w:p w14:paraId="241281D0" w14:textId="7740801F"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20%</w:t>
            </w:r>
          </w:p>
        </w:tc>
        <w:tc>
          <w:tcPr>
            <w:tcW w:w="589" w:type="pct"/>
            <w:tcBorders>
              <w:top w:val="single" w:sz="4" w:space="0" w:color="auto"/>
              <w:left w:val="single" w:sz="4" w:space="0" w:color="auto"/>
              <w:bottom w:val="single" w:sz="4" w:space="0" w:color="auto"/>
              <w:right w:val="single" w:sz="4" w:space="0" w:color="auto"/>
            </w:tcBorders>
            <w:shd w:val="clear" w:color="000000" w:fill="DA9694"/>
            <w:vAlign w:val="bottom"/>
          </w:tcPr>
          <w:p w14:paraId="38161AB8"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p>
        </w:tc>
        <w:tc>
          <w:tcPr>
            <w:tcW w:w="613" w:type="pct"/>
            <w:tcBorders>
              <w:top w:val="single" w:sz="4" w:space="0" w:color="auto"/>
              <w:left w:val="single" w:sz="4" w:space="0" w:color="auto"/>
              <w:bottom w:val="single" w:sz="4" w:space="0" w:color="auto"/>
              <w:right w:val="single" w:sz="4" w:space="0" w:color="auto"/>
            </w:tcBorders>
            <w:shd w:val="clear" w:color="000000" w:fill="DA9694"/>
            <w:vAlign w:val="bottom"/>
          </w:tcPr>
          <w:p w14:paraId="430BD8B0" w14:textId="6BF77F8F"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10-25%</w:t>
            </w:r>
          </w:p>
        </w:tc>
      </w:tr>
      <w:tr w:rsidR="001E5D08" w:rsidRPr="00D02A46" w14:paraId="31CF93CE" w14:textId="77777777" w:rsidTr="001E5D08">
        <w:trPr>
          <w:trHeight w:val="480"/>
        </w:trPr>
        <w:tc>
          <w:tcPr>
            <w:tcW w:w="245" w:type="pct"/>
            <w:tcBorders>
              <w:top w:val="single" w:sz="4" w:space="0" w:color="auto"/>
              <w:left w:val="single" w:sz="4" w:space="0" w:color="auto"/>
              <w:bottom w:val="single" w:sz="4" w:space="0" w:color="auto"/>
              <w:right w:val="single" w:sz="4" w:space="0" w:color="auto"/>
            </w:tcBorders>
            <w:shd w:val="clear" w:color="000000" w:fill="DA9694"/>
          </w:tcPr>
          <w:p w14:paraId="22846144" w14:textId="0F5D915F" w:rsidR="001E5D08"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Mac</w:t>
            </w:r>
          </w:p>
        </w:tc>
        <w:tc>
          <w:tcPr>
            <w:tcW w:w="975" w:type="pct"/>
            <w:tcBorders>
              <w:top w:val="single" w:sz="4" w:space="0" w:color="auto"/>
              <w:left w:val="single" w:sz="4" w:space="0" w:color="auto"/>
              <w:bottom w:val="single" w:sz="4" w:space="0" w:color="auto"/>
              <w:right w:val="single" w:sz="4" w:space="0" w:color="auto"/>
            </w:tcBorders>
            <w:shd w:val="clear" w:color="000000" w:fill="DA9694"/>
            <w:vAlign w:val="bottom"/>
          </w:tcPr>
          <w:p w14:paraId="0D426DF4" w14:textId="707D5587"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1-7%</w:t>
            </w:r>
          </w:p>
        </w:tc>
        <w:tc>
          <w:tcPr>
            <w:tcW w:w="636" w:type="pct"/>
            <w:tcBorders>
              <w:top w:val="single" w:sz="4" w:space="0" w:color="auto"/>
              <w:left w:val="single" w:sz="4" w:space="0" w:color="auto"/>
              <w:bottom w:val="single" w:sz="4" w:space="0" w:color="auto"/>
              <w:right w:val="single" w:sz="4" w:space="0" w:color="auto"/>
            </w:tcBorders>
            <w:shd w:val="clear" w:color="000000" w:fill="DA9694"/>
            <w:vAlign w:val="bottom"/>
          </w:tcPr>
          <w:p w14:paraId="4880EF66"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p>
        </w:tc>
        <w:tc>
          <w:tcPr>
            <w:tcW w:w="658" w:type="pct"/>
            <w:tcBorders>
              <w:top w:val="single" w:sz="4" w:space="0" w:color="auto"/>
              <w:left w:val="single" w:sz="4" w:space="0" w:color="auto"/>
              <w:bottom w:val="single" w:sz="4" w:space="0" w:color="auto"/>
              <w:right w:val="single" w:sz="4" w:space="0" w:color="auto"/>
            </w:tcBorders>
            <w:shd w:val="clear" w:color="000000" w:fill="DA9694"/>
            <w:vAlign w:val="bottom"/>
          </w:tcPr>
          <w:p w14:paraId="156CFA05" w14:textId="0220746A"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10-30%</w:t>
            </w:r>
          </w:p>
        </w:tc>
        <w:tc>
          <w:tcPr>
            <w:tcW w:w="658" w:type="pct"/>
            <w:tcBorders>
              <w:top w:val="single" w:sz="4" w:space="0" w:color="auto"/>
              <w:left w:val="single" w:sz="4" w:space="0" w:color="auto"/>
              <w:bottom w:val="single" w:sz="4" w:space="0" w:color="auto"/>
              <w:right w:val="single" w:sz="4" w:space="0" w:color="auto"/>
            </w:tcBorders>
            <w:shd w:val="clear" w:color="000000" w:fill="DA9694"/>
            <w:vAlign w:val="bottom"/>
          </w:tcPr>
          <w:p w14:paraId="10C03CC1" w14:textId="3DCE1FA7"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10-20%</w:t>
            </w:r>
          </w:p>
        </w:tc>
        <w:tc>
          <w:tcPr>
            <w:tcW w:w="625" w:type="pct"/>
            <w:tcBorders>
              <w:top w:val="single" w:sz="4" w:space="0" w:color="auto"/>
              <w:left w:val="single" w:sz="4" w:space="0" w:color="auto"/>
              <w:bottom w:val="single" w:sz="4" w:space="0" w:color="auto"/>
              <w:right w:val="single" w:sz="4" w:space="0" w:color="auto"/>
            </w:tcBorders>
            <w:shd w:val="clear" w:color="000000" w:fill="DA9694"/>
            <w:vAlign w:val="bottom"/>
          </w:tcPr>
          <w:p w14:paraId="08E676F4" w14:textId="00800EEA"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20%</w:t>
            </w:r>
          </w:p>
        </w:tc>
        <w:tc>
          <w:tcPr>
            <w:tcW w:w="589" w:type="pct"/>
            <w:tcBorders>
              <w:top w:val="single" w:sz="4" w:space="0" w:color="auto"/>
              <w:left w:val="single" w:sz="4" w:space="0" w:color="auto"/>
              <w:bottom w:val="single" w:sz="4" w:space="0" w:color="auto"/>
              <w:right w:val="single" w:sz="4" w:space="0" w:color="auto"/>
            </w:tcBorders>
            <w:shd w:val="clear" w:color="000000" w:fill="DA9694"/>
            <w:vAlign w:val="bottom"/>
          </w:tcPr>
          <w:p w14:paraId="78B523D8"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p>
        </w:tc>
        <w:tc>
          <w:tcPr>
            <w:tcW w:w="613" w:type="pct"/>
            <w:tcBorders>
              <w:top w:val="single" w:sz="4" w:space="0" w:color="auto"/>
              <w:left w:val="single" w:sz="4" w:space="0" w:color="auto"/>
              <w:bottom w:val="single" w:sz="4" w:space="0" w:color="auto"/>
              <w:right w:val="single" w:sz="4" w:space="0" w:color="auto"/>
            </w:tcBorders>
            <w:shd w:val="clear" w:color="000000" w:fill="DA9694"/>
            <w:vAlign w:val="bottom"/>
          </w:tcPr>
          <w:p w14:paraId="582CFEBE" w14:textId="10E57043"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20%</w:t>
            </w:r>
          </w:p>
        </w:tc>
      </w:tr>
      <w:tr w:rsidR="001E5D08" w:rsidRPr="00D02A46" w14:paraId="4B55A305" w14:textId="77777777" w:rsidTr="001E5D08">
        <w:trPr>
          <w:trHeight w:val="480"/>
        </w:trPr>
        <w:tc>
          <w:tcPr>
            <w:tcW w:w="245" w:type="pct"/>
            <w:tcBorders>
              <w:top w:val="single" w:sz="4" w:space="0" w:color="auto"/>
              <w:left w:val="single" w:sz="4" w:space="0" w:color="auto"/>
              <w:bottom w:val="single" w:sz="4" w:space="0" w:color="auto"/>
              <w:right w:val="single" w:sz="4" w:space="0" w:color="auto"/>
            </w:tcBorders>
            <w:shd w:val="clear" w:color="000000" w:fill="DA9694"/>
          </w:tcPr>
          <w:p w14:paraId="0BABC190" w14:textId="48AB740E" w:rsidR="001E5D08"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Mon</w:t>
            </w:r>
          </w:p>
        </w:tc>
        <w:tc>
          <w:tcPr>
            <w:tcW w:w="975" w:type="pct"/>
            <w:tcBorders>
              <w:top w:val="single" w:sz="4" w:space="0" w:color="auto"/>
              <w:left w:val="single" w:sz="4" w:space="0" w:color="auto"/>
              <w:bottom w:val="single" w:sz="4" w:space="0" w:color="auto"/>
              <w:right w:val="single" w:sz="4" w:space="0" w:color="auto"/>
            </w:tcBorders>
            <w:shd w:val="clear" w:color="000000" w:fill="DA9694"/>
            <w:vAlign w:val="bottom"/>
          </w:tcPr>
          <w:p w14:paraId="0310501A" w14:textId="0DC691A5"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4%</w:t>
            </w:r>
          </w:p>
        </w:tc>
        <w:tc>
          <w:tcPr>
            <w:tcW w:w="636" w:type="pct"/>
            <w:tcBorders>
              <w:top w:val="single" w:sz="4" w:space="0" w:color="auto"/>
              <w:left w:val="single" w:sz="4" w:space="0" w:color="auto"/>
              <w:bottom w:val="single" w:sz="4" w:space="0" w:color="auto"/>
              <w:right w:val="single" w:sz="4" w:space="0" w:color="auto"/>
            </w:tcBorders>
            <w:shd w:val="clear" w:color="000000" w:fill="DA9694"/>
            <w:vAlign w:val="bottom"/>
          </w:tcPr>
          <w:p w14:paraId="23DDAFBE" w14:textId="4383E558"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4%</w:t>
            </w:r>
          </w:p>
        </w:tc>
        <w:tc>
          <w:tcPr>
            <w:tcW w:w="658" w:type="pct"/>
            <w:tcBorders>
              <w:top w:val="single" w:sz="4" w:space="0" w:color="auto"/>
              <w:left w:val="single" w:sz="4" w:space="0" w:color="auto"/>
              <w:bottom w:val="single" w:sz="4" w:space="0" w:color="auto"/>
              <w:right w:val="single" w:sz="4" w:space="0" w:color="auto"/>
            </w:tcBorders>
            <w:shd w:val="clear" w:color="000000" w:fill="DA9694"/>
            <w:vAlign w:val="bottom"/>
          </w:tcPr>
          <w:p w14:paraId="0AABCBA5"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p>
        </w:tc>
        <w:tc>
          <w:tcPr>
            <w:tcW w:w="658" w:type="pct"/>
            <w:tcBorders>
              <w:top w:val="single" w:sz="4" w:space="0" w:color="auto"/>
              <w:left w:val="single" w:sz="4" w:space="0" w:color="auto"/>
              <w:bottom w:val="single" w:sz="4" w:space="0" w:color="auto"/>
              <w:right w:val="single" w:sz="4" w:space="0" w:color="auto"/>
            </w:tcBorders>
            <w:shd w:val="clear" w:color="000000" w:fill="DA9694"/>
            <w:vAlign w:val="bottom"/>
          </w:tcPr>
          <w:p w14:paraId="7BB02539" w14:textId="27A11413"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10-20%</w:t>
            </w:r>
          </w:p>
        </w:tc>
        <w:tc>
          <w:tcPr>
            <w:tcW w:w="625" w:type="pct"/>
            <w:tcBorders>
              <w:top w:val="single" w:sz="4" w:space="0" w:color="auto"/>
              <w:left w:val="single" w:sz="4" w:space="0" w:color="auto"/>
              <w:bottom w:val="single" w:sz="4" w:space="0" w:color="auto"/>
              <w:right w:val="single" w:sz="4" w:space="0" w:color="auto"/>
            </w:tcBorders>
            <w:shd w:val="clear" w:color="000000" w:fill="DA9694"/>
            <w:vAlign w:val="bottom"/>
          </w:tcPr>
          <w:p w14:paraId="46EA5DF7" w14:textId="4BC8DEFB"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10-20%</w:t>
            </w:r>
          </w:p>
        </w:tc>
        <w:tc>
          <w:tcPr>
            <w:tcW w:w="589" w:type="pct"/>
            <w:tcBorders>
              <w:top w:val="single" w:sz="4" w:space="0" w:color="auto"/>
              <w:left w:val="single" w:sz="4" w:space="0" w:color="auto"/>
              <w:bottom w:val="single" w:sz="4" w:space="0" w:color="auto"/>
              <w:right w:val="single" w:sz="4" w:space="0" w:color="auto"/>
            </w:tcBorders>
            <w:shd w:val="clear" w:color="000000" w:fill="DA9694"/>
            <w:vAlign w:val="bottom"/>
          </w:tcPr>
          <w:p w14:paraId="7C0D3172"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p>
        </w:tc>
        <w:tc>
          <w:tcPr>
            <w:tcW w:w="613" w:type="pct"/>
            <w:tcBorders>
              <w:top w:val="single" w:sz="4" w:space="0" w:color="auto"/>
              <w:left w:val="single" w:sz="4" w:space="0" w:color="auto"/>
              <w:bottom w:val="single" w:sz="4" w:space="0" w:color="auto"/>
              <w:right w:val="single" w:sz="4" w:space="0" w:color="auto"/>
            </w:tcBorders>
            <w:shd w:val="clear" w:color="000000" w:fill="DA9694"/>
            <w:vAlign w:val="bottom"/>
          </w:tcPr>
          <w:p w14:paraId="212EEE9B"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p>
        </w:tc>
      </w:tr>
      <w:tr w:rsidR="001E5D08" w:rsidRPr="00D02A46" w14:paraId="4ECE82FD" w14:textId="77777777" w:rsidTr="001E5D08">
        <w:trPr>
          <w:trHeight w:val="480"/>
        </w:trPr>
        <w:tc>
          <w:tcPr>
            <w:tcW w:w="245" w:type="pct"/>
            <w:tcBorders>
              <w:top w:val="single" w:sz="4" w:space="0" w:color="auto"/>
              <w:left w:val="single" w:sz="4" w:space="0" w:color="auto"/>
              <w:bottom w:val="single" w:sz="4" w:space="0" w:color="auto"/>
              <w:right w:val="single" w:sz="4" w:space="0" w:color="auto"/>
            </w:tcBorders>
            <w:shd w:val="clear" w:color="000000" w:fill="DA9694"/>
          </w:tcPr>
          <w:p w14:paraId="6731F93E" w14:textId="55764329" w:rsidR="001E5D08"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Ser</w:t>
            </w:r>
          </w:p>
        </w:tc>
        <w:tc>
          <w:tcPr>
            <w:tcW w:w="975" w:type="pct"/>
            <w:tcBorders>
              <w:top w:val="single" w:sz="4" w:space="0" w:color="auto"/>
              <w:left w:val="single" w:sz="4" w:space="0" w:color="auto"/>
              <w:bottom w:val="single" w:sz="4" w:space="0" w:color="auto"/>
              <w:right w:val="single" w:sz="4" w:space="0" w:color="auto"/>
            </w:tcBorders>
            <w:shd w:val="clear" w:color="000000" w:fill="DA9694"/>
            <w:vAlign w:val="bottom"/>
          </w:tcPr>
          <w:p w14:paraId="6E3BCEB2"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p>
        </w:tc>
        <w:tc>
          <w:tcPr>
            <w:tcW w:w="636" w:type="pct"/>
            <w:tcBorders>
              <w:top w:val="single" w:sz="4" w:space="0" w:color="auto"/>
              <w:left w:val="single" w:sz="4" w:space="0" w:color="auto"/>
              <w:bottom w:val="single" w:sz="4" w:space="0" w:color="auto"/>
              <w:right w:val="single" w:sz="4" w:space="0" w:color="auto"/>
            </w:tcBorders>
            <w:shd w:val="clear" w:color="000000" w:fill="DA9694"/>
            <w:vAlign w:val="bottom"/>
          </w:tcPr>
          <w:p w14:paraId="07757157"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p>
        </w:tc>
        <w:tc>
          <w:tcPr>
            <w:tcW w:w="658" w:type="pct"/>
            <w:tcBorders>
              <w:top w:val="single" w:sz="4" w:space="0" w:color="auto"/>
              <w:left w:val="single" w:sz="4" w:space="0" w:color="auto"/>
              <w:bottom w:val="single" w:sz="4" w:space="0" w:color="auto"/>
              <w:right w:val="single" w:sz="4" w:space="0" w:color="auto"/>
            </w:tcBorders>
            <w:shd w:val="clear" w:color="000000" w:fill="DA9694"/>
            <w:vAlign w:val="bottom"/>
          </w:tcPr>
          <w:p w14:paraId="3F89C596"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p>
        </w:tc>
        <w:tc>
          <w:tcPr>
            <w:tcW w:w="658" w:type="pct"/>
            <w:tcBorders>
              <w:top w:val="single" w:sz="4" w:space="0" w:color="auto"/>
              <w:left w:val="single" w:sz="4" w:space="0" w:color="auto"/>
              <w:bottom w:val="single" w:sz="4" w:space="0" w:color="auto"/>
              <w:right w:val="single" w:sz="4" w:space="0" w:color="auto"/>
            </w:tcBorders>
            <w:shd w:val="clear" w:color="000000" w:fill="DA9694"/>
            <w:vAlign w:val="bottom"/>
          </w:tcPr>
          <w:p w14:paraId="236DE110" w14:textId="698BDE8A"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2-20%</w:t>
            </w:r>
          </w:p>
        </w:tc>
        <w:tc>
          <w:tcPr>
            <w:tcW w:w="625" w:type="pct"/>
            <w:tcBorders>
              <w:top w:val="single" w:sz="4" w:space="0" w:color="auto"/>
              <w:left w:val="single" w:sz="4" w:space="0" w:color="auto"/>
              <w:bottom w:val="single" w:sz="4" w:space="0" w:color="auto"/>
              <w:right w:val="single" w:sz="4" w:space="0" w:color="auto"/>
            </w:tcBorders>
            <w:shd w:val="clear" w:color="000000" w:fill="DA9694"/>
            <w:vAlign w:val="bottom"/>
          </w:tcPr>
          <w:p w14:paraId="278E42B4" w14:textId="741F10F5"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10-20%</w:t>
            </w:r>
          </w:p>
        </w:tc>
        <w:tc>
          <w:tcPr>
            <w:tcW w:w="589" w:type="pct"/>
            <w:tcBorders>
              <w:top w:val="single" w:sz="4" w:space="0" w:color="auto"/>
              <w:left w:val="single" w:sz="4" w:space="0" w:color="auto"/>
              <w:bottom w:val="single" w:sz="4" w:space="0" w:color="auto"/>
              <w:right w:val="single" w:sz="4" w:space="0" w:color="auto"/>
            </w:tcBorders>
            <w:shd w:val="clear" w:color="000000" w:fill="DA9694"/>
            <w:vAlign w:val="bottom"/>
          </w:tcPr>
          <w:p w14:paraId="3487AAE7"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p>
        </w:tc>
        <w:tc>
          <w:tcPr>
            <w:tcW w:w="613" w:type="pct"/>
            <w:tcBorders>
              <w:top w:val="single" w:sz="4" w:space="0" w:color="auto"/>
              <w:left w:val="single" w:sz="4" w:space="0" w:color="auto"/>
              <w:bottom w:val="single" w:sz="4" w:space="0" w:color="auto"/>
              <w:right w:val="single" w:sz="4" w:space="0" w:color="auto"/>
            </w:tcBorders>
            <w:shd w:val="clear" w:color="000000" w:fill="DA9694"/>
            <w:vAlign w:val="bottom"/>
          </w:tcPr>
          <w:p w14:paraId="53B41EA2" w14:textId="349CDE34" w:rsidR="001E5D08" w:rsidRPr="001E5D08" w:rsidRDefault="001E5D08" w:rsidP="00AD79CB">
            <w:pPr>
              <w:jc w:val="center"/>
              <w:rPr>
                <w:rFonts w:ascii="Microsoft Sans Serif" w:hAnsi="Microsoft Sans Serif" w:cs="Microsoft Sans Serif"/>
                <w:color w:val="0000FF"/>
                <w:sz w:val="16"/>
                <w:szCs w:val="16"/>
                <w:lang w:val="en-AU" w:eastAsia="en-US"/>
              </w:rPr>
            </w:pPr>
            <w:r w:rsidRPr="001E5D08">
              <w:rPr>
                <w:rFonts w:ascii="Microsoft Sans Serif" w:hAnsi="Microsoft Sans Serif" w:cs="Microsoft Sans Serif"/>
                <w:color w:val="0000FF"/>
                <w:sz w:val="16"/>
                <w:szCs w:val="16"/>
                <w:lang w:val="en-AU" w:eastAsia="en-US"/>
              </w:rPr>
              <w:t>10-20%</w:t>
            </w:r>
            <w:r w:rsidR="00760EA7">
              <w:rPr>
                <w:rStyle w:val="FootnoteReference"/>
                <w:rFonts w:ascii="Microsoft Sans Serif" w:hAnsi="Microsoft Sans Serif" w:cs="Microsoft Sans Serif"/>
                <w:color w:val="0000FF"/>
                <w:sz w:val="16"/>
                <w:szCs w:val="16"/>
                <w:lang w:val="en-AU" w:eastAsia="en-US"/>
              </w:rPr>
              <w:footnoteReference w:id="8"/>
            </w:r>
          </w:p>
        </w:tc>
      </w:tr>
      <w:tr w:rsidR="001E5D08" w:rsidRPr="00D02A46" w14:paraId="2D251D47" w14:textId="77777777" w:rsidTr="001E5D08">
        <w:trPr>
          <w:trHeight w:val="480"/>
        </w:trPr>
        <w:tc>
          <w:tcPr>
            <w:tcW w:w="245" w:type="pct"/>
            <w:tcBorders>
              <w:top w:val="single" w:sz="4" w:space="0" w:color="auto"/>
              <w:left w:val="single" w:sz="4" w:space="0" w:color="auto"/>
              <w:bottom w:val="single" w:sz="4" w:space="0" w:color="auto"/>
              <w:right w:val="single" w:sz="4" w:space="0" w:color="auto"/>
            </w:tcBorders>
            <w:shd w:val="clear" w:color="000000" w:fill="DA9694"/>
          </w:tcPr>
          <w:p w14:paraId="2D4C55A8" w14:textId="03E0ED3C" w:rsidR="001E5D08"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Ukr</w:t>
            </w:r>
          </w:p>
        </w:tc>
        <w:tc>
          <w:tcPr>
            <w:tcW w:w="975" w:type="pct"/>
            <w:tcBorders>
              <w:top w:val="single" w:sz="4" w:space="0" w:color="auto"/>
              <w:left w:val="single" w:sz="4" w:space="0" w:color="auto"/>
              <w:bottom w:val="single" w:sz="4" w:space="0" w:color="auto"/>
              <w:right w:val="single" w:sz="4" w:space="0" w:color="auto"/>
            </w:tcBorders>
            <w:shd w:val="clear" w:color="000000" w:fill="DA9694"/>
            <w:vAlign w:val="bottom"/>
          </w:tcPr>
          <w:p w14:paraId="7105A50A" w14:textId="15CE189F"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2-10%</w:t>
            </w:r>
          </w:p>
        </w:tc>
        <w:tc>
          <w:tcPr>
            <w:tcW w:w="636" w:type="pct"/>
            <w:tcBorders>
              <w:top w:val="single" w:sz="4" w:space="0" w:color="auto"/>
              <w:left w:val="single" w:sz="4" w:space="0" w:color="auto"/>
              <w:bottom w:val="single" w:sz="4" w:space="0" w:color="auto"/>
              <w:right w:val="single" w:sz="4" w:space="0" w:color="auto"/>
            </w:tcBorders>
            <w:shd w:val="clear" w:color="000000" w:fill="DA9694"/>
            <w:vAlign w:val="bottom"/>
          </w:tcPr>
          <w:p w14:paraId="009958CA"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p>
        </w:tc>
        <w:tc>
          <w:tcPr>
            <w:tcW w:w="658" w:type="pct"/>
            <w:tcBorders>
              <w:top w:val="single" w:sz="4" w:space="0" w:color="auto"/>
              <w:left w:val="single" w:sz="4" w:space="0" w:color="auto"/>
              <w:bottom w:val="single" w:sz="4" w:space="0" w:color="auto"/>
              <w:right w:val="single" w:sz="4" w:space="0" w:color="auto"/>
            </w:tcBorders>
            <w:shd w:val="clear" w:color="000000" w:fill="DA9694"/>
            <w:vAlign w:val="bottom"/>
          </w:tcPr>
          <w:p w14:paraId="15EFDD15" w14:textId="0CCA2D78"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5-14%</w:t>
            </w:r>
          </w:p>
        </w:tc>
        <w:tc>
          <w:tcPr>
            <w:tcW w:w="658" w:type="pct"/>
            <w:tcBorders>
              <w:top w:val="single" w:sz="4" w:space="0" w:color="auto"/>
              <w:left w:val="single" w:sz="4" w:space="0" w:color="auto"/>
              <w:bottom w:val="single" w:sz="4" w:space="0" w:color="auto"/>
              <w:right w:val="single" w:sz="4" w:space="0" w:color="auto"/>
            </w:tcBorders>
            <w:shd w:val="clear" w:color="000000" w:fill="DA9694"/>
            <w:vAlign w:val="bottom"/>
          </w:tcPr>
          <w:p w14:paraId="2E011BBD" w14:textId="34CDF35F"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2-7%</w:t>
            </w:r>
          </w:p>
        </w:tc>
        <w:tc>
          <w:tcPr>
            <w:tcW w:w="625" w:type="pct"/>
            <w:tcBorders>
              <w:top w:val="single" w:sz="4" w:space="0" w:color="auto"/>
              <w:left w:val="single" w:sz="4" w:space="0" w:color="auto"/>
              <w:bottom w:val="single" w:sz="4" w:space="0" w:color="auto"/>
              <w:right w:val="single" w:sz="4" w:space="0" w:color="auto"/>
            </w:tcBorders>
            <w:shd w:val="clear" w:color="000000" w:fill="DA9694"/>
            <w:vAlign w:val="bottom"/>
          </w:tcPr>
          <w:p w14:paraId="05FADB27" w14:textId="66DA8123"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14-20%</w:t>
            </w:r>
          </w:p>
        </w:tc>
        <w:tc>
          <w:tcPr>
            <w:tcW w:w="589" w:type="pct"/>
            <w:tcBorders>
              <w:top w:val="single" w:sz="4" w:space="0" w:color="auto"/>
              <w:left w:val="single" w:sz="4" w:space="0" w:color="auto"/>
              <w:bottom w:val="single" w:sz="4" w:space="0" w:color="auto"/>
              <w:right w:val="single" w:sz="4" w:space="0" w:color="auto"/>
            </w:tcBorders>
            <w:shd w:val="clear" w:color="000000" w:fill="DA9694"/>
            <w:vAlign w:val="bottom"/>
          </w:tcPr>
          <w:p w14:paraId="796E7D09" w14:textId="6798F88D" w:rsidR="001E5D08" w:rsidRPr="00D02A46" w:rsidRDefault="001E5D08" w:rsidP="00AD79CB">
            <w:pPr>
              <w:jc w:val="center"/>
              <w:rPr>
                <w:rFonts w:ascii="Microsoft Sans Serif" w:hAnsi="Microsoft Sans Serif" w:cs="Microsoft Sans Serif"/>
                <w:color w:val="000000"/>
                <w:sz w:val="16"/>
                <w:szCs w:val="16"/>
                <w:lang w:val="en-AU" w:eastAsia="en-US"/>
              </w:rPr>
            </w:pPr>
            <w:r>
              <w:rPr>
                <w:rFonts w:ascii="Microsoft Sans Serif" w:hAnsi="Microsoft Sans Serif" w:cs="Microsoft Sans Serif"/>
                <w:color w:val="000000"/>
                <w:sz w:val="16"/>
                <w:szCs w:val="16"/>
                <w:lang w:val="en-AU" w:eastAsia="en-US"/>
              </w:rPr>
              <w:t>50%</w:t>
            </w:r>
          </w:p>
        </w:tc>
        <w:tc>
          <w:tcPr>
            <w:tcW w:w="613" w:type="pct"/>
            <w:tcBorders>
              <w:top w:val="single" w:sz="4" w:space="0" w:color="auto"/>
              <w:left w:val="single" w:sz="4" w:space="0" w:color="auto"/>
              <w:bottom w:val="single" w:sz="4" w:space="0" w:color="auto"/>
              <w:right w:val="single" w:sz="4" w:space="0" w:color="auto"/>
            </w:tcBorders>
            <w:shd w:val="clear" w:color="000000" w:fill="DA9694"/>
            <w:vAlign w:val="bottom"/>
          </w:tcPr>
          <w:p w14:paraId="1EBFC5FF" w14:textId="77777777" w:rsidR="001E5D08" w:rsidRPr="00D02A46" w:rsidRDefault="001E5D08" w:rsidP="00AD79CB">
            <w:pPr>
              <w:jc w:val="center"/>
              <w:rPr>
                <w:rFonts w:ascii="Microsoft Sans Serif" w:hAnsi="Microsoft Sans Serif" w:cs="Microsoft Sans Serif"/>
                <w:color w:val="000000"/>
                <w:sz w:val="16"/>
                <w:szCs w:val="16"/>
                <w:lang w:val="en-AU" w:eastAsia="en-US"/>
              </w:rPr>
            </w:pPr>
          </w:p>
        </w:tc>
      </w:tr>
      <w:tr w:rsidR="001E5D08" w:rsidRPr="00D02A46" w14:paraId="314A314C" w14:textId="77777777" w:rsidTr="001E5D08">
        <w:trPr>
          <w:trHeight w:val="480"/>
        </w:trPr>
        <w:tc>
          <w:tcPr>
            <w:tcW w:w="245" w:type="pct"/>
            <w:tcBorders>
              <w:top w:val="single" w:sz="4" w:space="0" w:color="auto"/>
              <w:left w:val="single" w:sz="4" w:space="0" w:color="auto"/>
              <w:bottom w:val="single" w:sz="4" w:space="0" w:color="auto"/>
              <w:right w:val="single" w:sz="4" w:space="0" w:color="auto"/>
            </w:tcBorders>
            <w:shd w:val="clear" w:color="000000" w:fill="DA9694"/>
          </w:tcPr>
          <w:p w14:paraId="6B35E6B2" w14:textId="0652105F" w:rsidR="001E5D08" w:rsidRPr="001E5D08" w:rsidRDefault="001E5D08" w:rsidP="00AD79CB">
            <w:pPr>
              <w:jc w:val="center"/>
              <w:rPr>
                <w:rFonts w:ascii="Microsoft Sans Serif" w:hAnsi="Microsoft Sans Serif" w:cs="Microsoft Sans Serif"/>
                <w:b/>
                <w:color w:val="000000"/>
                <w:sz w:val="16"/>
                <w:szCs w:val="16"/>
                <w:lang w:val="en-AU" w:eastAsia="en-US"/>
              </w:rPr>
            </w:pPr>
            <w:r w:rsidRPr="001E5D08">
              <w:rPr>
                <w:rFonts w:ascii="Microsoft Sans Serif" w:hAnsi="Microsoft Sans Serif" w:cs="Microsoft Sans Serif"/>
                <w:b/>
                <w:color w:val="000000"/>
                <w:sz w:val="16"/>
                <w:szCs w:val="16"/>
                <w:lang w:val="en-AU" w:eastAsia="en-US"/>
              </w:rPr>
              <w:t>Sum</w:t>
            </w:r>
          </w:p>
        </w:tc>
        <w:tc>
          <w:tcPr>
            <w:tcW w:w="975" w:type="pct"/>
            <w:tcBorders>
              <w:top w:val="single" w:sz="4" w:space="0" w:color="auto"/>
              <w:left w:val="single" w:sz="4" w:space="0" w:color="auto"/>
              <w:bottom w:val="single" w:sz="4" w:space="0" w:color="auto"/>
              <w:right w:val="single" w:sz="4" w:space="0" w:color="auto"/>
            </w:tcBorders>
            <w:shd w:val="clear" w:color="000000" w:fill="DA9694"/>
            <w:vAlign w:val="bottom"/>
          </w:tcPr>
          <w:p w14:paraId="0DE01841" w14:textId="134707DE" w:rsidR="001E5D08" w:rsidRPr="001E5D08" w:rsidRDefault="001E5D08" w:rsidP="00AD79CB">
            <w:pPr>
              <w:jc w:val="center"/>
              <w:rPr>
                <w:rFonts w:ascii="Microsoft Sans Serif" w:hAnsi="Microsoft Sans Serif" w:cs="Microsoft Sans Serif"/>
                <w:b/>
                <w:color w:val="000000"/>
                <w:sz w:val="16"/>
                <w:szCs w:val="16"/>
                <w:lang w:val="en-AU" w:eastAsia="en-US"/>
              </w:rPr>
            </w:pPr>
            <w:r>
              <w:rPr>
                <w:rFonts w:ascii="Microsoft Sans Serif" w:hAnsi="Microsoft Sans Serif" w:cs="Microsoft Sans Serif"/>
                <w:b/>
                <w:color w:val="000000"/>
                <w:sz w:val="16"/>
                <w:szCs w:val="16"/>
                <w:lang w:val="en-AU" w:eastAsia="en-US"/>
              </w:rPr>
              <w:t>1.25-10%</w:t>
            </w:r>
          </w:p>
        </w:tc>
        <w:tc>
          <w:tcPr>
            <w:tcW w:w="636" w:type="pct"/>
            <w:tcBorders>
              <w:top w:val="single" w:sz="4" w:space="0" w:color="auto"/>
              <w:left w:val="single" w:sz="4" w:space="0" w:color="auto"/>
              <w:bottom w:val="single" w:sz="4" w:space="0" w:color="auto"/>
              <w:right w:val="single" w:sz="4" w:space="0" w:color="auto"/>
            </w:tcBorders>
            <w:shd w:val="clear" w:color="000000" w:fill="DA9694"/>
            <w:vAlign w:val="bottom"/>
          </w:tcPr>
          <w:p w14:paraId="690F2424" w14:textId="270591D0" w:rsidR="001E5D08" w:rsidRPr="001E5D08" w:rsidRDefault="001E5D08" w:rsidP="00AD79CB">
            <w:pPr>
              <w:jc w:val="center"/>
              <w:rPr>
                <w:rFonts w:ascii="Microsoft Sans Serif" w:hAnsi="Microsoft Sans Serif" w:cs="Microsoft Sans Serif"/>
                <w:b/>
                <w:color w:val="000000"/>
                <w:sz w:val="16"/>
                <w:szCs w:val="16"/>
                <w:lang w:val="en-AU" w:eastAsia="en-US"/>
              </w:rPr>
            </w:pPr>
            <w:r>
              <w:rPr>
                <w:rFonts w:ascii="Microsoft Sans Serif" w:hAnsi="Microsoft Sans Serif" w:cs="Microsoft Sans Serif"/>
                <w:b/>
                <w:color w:val="000000"/>
                <w:sz w:val="16"/>
                <w:szCs w:val="16"/>
                <w:lang w:val="en-AU" w:eastAsia="en-US"/>
              </w:rPr>
              <w:t>4%</w:t>
            </w:r>
          </w:p>
        </w:tc>
        <w:tc>
          <w:tcPr>
            <w:tcW w:w="658" w:type="pct"/>
            <w:tcBorders>
              <w:top w:val="single" w:sz="4" w:space="0" w:color="auto"/>
              <w:left w:val="single" w:sz="4" w:space="0" w:color="auto"/>
              <w:bottom w:val="single" w:sz="4" w:space="0" w:color="auto"/>
              <w:right w:val="single" w:sz="4" w:space="0" w:color="auto"/>
            </w:tcBorders>
            <w:shd w:val="clear" w:color="000000" w:fill="DA9694"/>
            <w:vAlign w:val="bottom"/>
          </w:tcPr>
          <w:p w14:paraId="04EA7191" w14:textId="018732F9" w:rsidR="001E5D08" w:rsidRPr="001E5D08" w:rsidRDefault="001E5D08" w:rsidP="00AD79CB">
            <w:pPr>
              <w:jc w:val="center"/>
              <w:rPr>
                <w:rFonts w:ascii="Microsoft Sans Serif" w:hAnsi="Microsoft Sans Serif" w:cs="Microsoft Sans Serif"/>
                <w:b/>
                <w:color w:val="000000"/>
                <w:sz w:val="16"/>
                <w:szCs w:val="16"/>
                <w:lang w:val="en-AU" w:eastAsia="en-US"/>
              </w:rPr>
            </w:pPr>
            <w:r>
              <w:rPr>
                <w:rFonts w:ascii="Microsoft Sans Serif" w:hAnsi="Microsoft Sans Serif" w:cs="Microsoft Sans Serif"/>
                <w:b/>
                <w:color w:val="000000"/>
                <w:sz w:val="16"/>
                <w:szCs w:val="16"/>
                <w:lang w:val="en-AU" w:eastAsia="en-US"/>
              </w:rPr>
              <w:t>5-30%</w:t>
            </w:r>
          </w:p>
        </w:tc>
        <w:tc>
          <w:tcPr>
            <w:tcW w:w="658" w:type="pct"/>
            <w:tcBorders>
              <w:top w:val="single" w:sz="4" w:space="0" w:color="auto"/>
              <w:left w:val="single" w:sz="4" w:space="0" w:color="auto"/>
              <w:bottom w:val="single" w:sz="4" w:space="0" w:color="auto"/>
              <w:right w:val="single" w:sz="4" w:space="0" w:color="auto"/>
            </w:tcBorders>
            <w:shd w:val="clear" w:color="000000" w:fill="DA9694"/>
            <w:vAlign w:val="bottom"/>
          </w:tcPr>
          <w:p w14:paraId="31137E26" w14:textId="3ABB2026" w:rsidR="001E5D08" w:rsidRPr="001E5D08" w:rsidRDefault="001E5D08" w:rsidP="00AD79CB">
            <w:pPr>
              <w:jc w:val="center"/>
              <w:rPr>
                <w:rFonts w:ascii="Microsoft Sans Serif" w:hAnsi="Microsoft Sans Serif" w:cs="Microsoft Sans Serif"/>
                <w:b/>
                <w:color w:val="000000"/>
                <w:sz w:val="16"/>
                <w:szCs w:val="16"/>
                <w:lang w:val="en-AU" w:eastAsia="en-US"/>
              </w:rPr>
            </w:pPr>
            <w:r>
              <w:rPr>
                <w:rFonts w:ascii="Microsoft Sans Serif" w:hAnsi="Microsoft Sans Serif" w:cs="Microsoft Sans Serif"/>
                <w:b/>
                <w:color w:val="000000"/>
                <w:sz w:val="16"/>
                <w:szCs w:val="16"/>
                <w:lang w:val="en-AU" w:eastAsia="en-US"/>
              </w:rPr>
              <w:t>2-25%</w:t>
            </w:r>
          </w:p>
        </w:tc>
        <w:tc>
          <w:tcPr>
            <w:tcW w:w="625" w:type="pct"/>
            <w:tcBorders>
              <w:top w:val="single" w:sz="4" w:space="0" w:color="auto"/>
              <w:left w:val="single" w:sz="4" w:space="0" w:color="auto"/>
              <w:bottom w:val="single" w:sz="4" w:space="0" w:color="auto"/>
              <w:right w:val="single" w:sz="4" w:space="0" w:color="auto"/>
            </w:tcBorders>
            <w:shd w:val="clear" w:color="000000" w:fill="DA9694"/>
            <w:vAlign w:val="bottom"/>
          </w:tcPr>
          <w:p w14:paraId="53DB53AA" w14:textId="37CD134B" w:rsidR="001E5D08" w:rsidRPr="001E5D08" w:rsidRDefault="001E5D08" w:rsidP="00AD79CB">
            <w:pPr>
              <w:jc w:val="center"/>
              <w:rPr>
                <w:rFonts w:ascii="Microsoft Sans Serif" w:hAnsi="Microsoft Sans Serif" w:cs="Microsoft Sans Serif"/>
                <w:b/>
                <w:color w:val="000000"/>
                <w:sz w:val="16"/>
                <w:szCs w:val="16"/>
                <w:lang w:val="en-AU" w:eastAsia="en-US"/>
              </w:rPr>
            </w:pPr>
            <w:r>
              <w:rPr>
                <w:rFonts w:ascii="Microsoft Sans Serif" w:hAnsi="Microsoft Sans Serif" w:cs="Microsoft Sans Serif"/>
                <w:b/>
                <w:color w:val="000000"/>
                <w:sz w:val="16"/>
                <w:szCs w:val="16"/>
                <w:lang w:val="en-AU" w:eastAsia="en-US"/>
              </w:rPr>
              <w:t>10-20%</w:t>
            </w:r>
          </w:p>
        </w:tc>
        <w:tc>
          <w:tcPr>
            <w:tcW w:w="589" w:type="pct"/>
            <w:tcBorders>
              <w:top w:val="single" w:sz="4" w:space="0" w:color="auto"/>
              <w:left w:val="single" w:sz="4" w:space="0" w:color="auto"/>
              <w:bottom w:val="single" w:sz="4" w:space="0" w:color="auto"/>
              <w:right w:val="single" w:sz="4" w:space="0" w:color="auto"/>
            </w:tcBorders>
            <w:shd w:val="clear" w:color="000000" w:fill="DA9694"/>
            <w:vAlign w:val="bottom"/>
          </w:tcPr>
          <w:p w14:paraId="20259520" w14:textId="516A001C" w:rsidR="001E5D08" w:rsidRPr="001E5D08" w:rsidRDefault="001E5D08" w:rsidP="00AD79CB">
            <w:pPr>
              <w:jc w:val="center"/>
              <w:rPr>
                <w:rFonts w:ascii="Microsoft Sans Serif" w:hAnsi="Microsoft Sans Serif" w:cs="Microsoft Sans Serif"/>
                <w:b/>
                <w:color w:val="000000"/>
                <w:sz w:val="16"/>
                <w:szCs w:val="16"/>
                <w:lang w:val="en-AU" w:eastAsia="en-US"/>
              </w:rPr>
            </w:pPr>
            <w:r>
              <w:rPr>
                <w:rFonts w:ascii="Microsoft Sans Serif" w:hAnsi="Microsoft Sans Serif" w:cs="Microsoft Sans Serif"/>
                <w:b/>
                <w:color w:val="000000"/>
                <w:sz w:val="16"/>
                <w:szCs w:val="16"/>
                <w:lang w:val="en-AU" w:eastAsia="en-US"/>
              </w:rPr>
              <w:t>50%</w:t>
            </w:r>
          </w:p>
        </w:tc>
        <w:tc>
          <w:tcPr>
            <w:tcW w:w="613" w:type="pct"/>
            <w:tcBorders>
              <w:top w:val="single" w:sz="4" w:space="0" w:color="auto"/>
              <w:left w:val="single" w:sz="4" w:space="0" w:color="auto"/>
              <w:bottom w:val="single" w:sz="4" w:space="0" w:color="auto"/>
              <w:right w:val="single" w:sz="4" w:space="0" w:color="auto"/>
            </w:tcBorders>
            <w:shd w:val="clear" w:color="000000" w:fill="DA9694"/>
            <w:vAlign w:val="bottom"/>
          </w:tcPr>
          <w:p w14:paraId="5CD6A379" w14:textId="6A93002C" w:rsidR="001E5D08" w:rsidRPr="001E5D08" w:rsidRDefault="001E5D08" w:rsidP="00AD79CB">
            <w:pPr>
              <w:jc w:val="center"/>
              <w:rPr>
                <w:rFonts w:ascii="Microsoft Sans Serif" w:hAnsi="Microsoft Sans Serif" w:cs="Microsoft Sans Serif"/>
                <w:b/>
                <w:color w:val="000000"/>
                <w:sz w:val="16"/>
                <w:szCs w:val="16"/>
                <w:lang w:val="en-AU" w:eastAsia="en-US"/>
              </w:rPr>
            </w:pPr>
            <w:r>
              <w:rPr>
                <w:rFonts w:ascii="Microsoft Sans Serif" w:hAnsi="Microsoft Sans Serif" w:cs="Microsoft Sans Serif"/>
                <w:b/>
                <w:color w:val="000000"/>
                <w:sz w:val="16"/>
                <w:szCs w:val="16"/>
                <w:lang w:val="en-AU" w:eastAsia="en-US"/>
              </w:rPr>
              <w:t>10-25%</w:t>
            </w:r>
          </w:p>
        </w:tc>
      </w:tr>
    </w:tbl>
    <w:p w14:paraId="3201B78B" w14:textId="14E45044" w:rsidR="001E5D08" w:rsidRPr="00C83F3F" w:rsidRDefault="001E5D08" w:rsidP="001E5D08">
      <w:pPr>
        <w:spacing w:before="100" w:beforeAutospacing="1"/>
        <w:ind w:left="-709"/>
        <w:rPr>
          <w:i/>
          <w:lang w:val="en-US"/>
        </w:rPr>
      </w:pPr>
      <w:r w:rsidRPr="00C83F3F">
        <w:rPr>
          <w:i/>
          <w:lang w:val="en-US"/>
        </w:rPr>
        <w:t>While some uniformity in depreciations rates is evident, the lack of specific detail on the</w:t>
      </w:r>
      <w:r w:rsidR="00C83F3F">
        <w:rPr>
          <w:i/>
          <w:lang w:val="en-US"/>
        </w:rPr>
        <w:t xml:space="preserve"> sub</w:t>
      </w:r>
      <w:r w:rsidR="00760EA7">
        <w:rPr>
          <w:i/>
          <w:lang w:val="en-US"/>
        </w:rPr>
        <w:t xml:space="preserve"> category/</w:t>
      </w:r>
      <w:r w:rsidR="00C83F3F">
        <w:rPr>
          <w:i/>
          <w:lang w:val="en-US"/>
        </w:rPr>
        <w:t>class</w:t>
      </w:r>
      <w:r w:rsidRPr="00C83F3F">
        <w:rPr>
          <w:i/>
          <w:lang w:val="en-US"/>
        </w:rPr>
        <w:t xml:space="preserve"> </w:t>
      </w:r>
      <w:r w:rsidR="00C83F3F">
        <w:rPr>
          <w:i/>
          <w:lang w:val="en-US"/>
        </w:rPr>
        <w:t xml:space="preserve">of </w:t>
      </w:r>
      <w:r w:rsidRPr="00C83F3F">
        <w:rPr>
          <w:i/>
          <w:lang w:val="en-US"/>
        </w:rPr>
        <w:t xml:space="preserve">assets to which each rate applies makes this information </w:t>
      </w:r>
      <w:r w:rsidR="00C83F3F">
        <w:rPr>
          <w:i/>
          <w:lang w:val="en-US"/>
        </w:rPr>
        <w:t>difficult to assess and use</w:t>
      </w:r>
      <w:r w:rsidRPr="00C83F3F">
        <w:rPr>
          <w:i/>
          <w:lang w:val="en-US"/>
        </w:rPr>
        <w:t>. A more detailed analysis could be beneficial, although the variances in what is included within each class will also be a factor reducing the</w:t>
      </w:r>
      <w:r w:rsidR="00C83F3F">
        <w:rPr>
          <w:i/>
          <w:lang w:val="en-US"/>
        </w:rPr>
        <w:t xml:space="preserve"> effectiveness of comparis</w:t>
      </w:r>
      <w:r w:rsidRPr="00C83F3F">
        <w:rPr>
          <w:i/>
          <w:lang w:val="en-US"/>
        </w:rPr>
        <w:t>ons</w:t>
      </w:r>
      <w:r w:rsidR="00C83F3F">
        <w:rPr>
          <w:i/>
          <w:lang w:val="en-US"/>
        </w:rPr>
        <w:t xml:space="preserve"> of this nature</w:t>
      </w:r>
      <w:r w:rsidRPr="00C83F3F">
        <w:rPr>
          <w:i/>
          <w:lang w:val="en-US"/>
        </w:rPr>
        <w:t xml:space="preserve">. What would be useful is a discussion between working group members </w:t>
      </w:r>
      <w:r w:rsidR="00C83F3F">
        <w:rPr>
          <w:i/>
          <w:lang w:val="en-US"/>
        </w:rPr>
        <w:t xml:space="preserve">regarding </w:t>
      </w:r>
      <w:r w:rsidR="00C83F3F" w:rsidRPr="00C83F3F">
        <w:rPr>
          <w:i/>
          <w:lang w:val="en-US"/>
        </w:rPr>
        <w:t xml:space="preserve">some of the </w:t>
      </w:r>
      <w:r w:rsidRPr="00C83F3F">
        <w:rPr>
          <w:i/>
          <w:lang w:val="en-US"/>
        </w:rPr>
        <w:t>variances</w:t>
      </w:r>
      <w:r w:rsidR="00C83F3F" w:rsidRPr="00C83F3F">
        <w:rPr>
          <w:i/>
          <w:lang w:val="en-US"/>
        </w:rPr>
        <w:t xml:space="preserve"> between countries, including the use of a declining balance approach by Serbia for long</w:t>
      </w:r>
      <w:r w:rsidR="00595E88">
        <w:rPr>
          <w:i/>
          <w:lang w:val="en-US"/>
        </w:rPr>
        <w:t>-</w:t>
      </w:r>
      <w:r w:rsidR="00C83F3F" w:rsidRPr="00C83F3F">
        <w:rPr>
          <w:i/>
          <w:lang w:val="en-US"/>
        </w:rPr>
        <w:t>term intangible assets.</w:t>
      </w:r>
      <w:r w:rsidRPr="00C83F3F">
        <w:rPr>
          <w:i/>
          <w:lang w:val="en-US"/>
        </w:rPr>
        <w:t xml:space="preserve"> </w:t>
      </w:r>
    </w:p>
    <w:p w14:paraId="7C39C1A6" w14:textId="6F7CBE4B" w:rsidR="00AD79CB" w:rsidRPr="001B2C4B" w:rsidRDefault="001E5D08" w:rsidP="001B2C4B">
      <w:pPr>
        <w:spacing w:before="100" w:beforeAutospacing="1"/>
        <w:ind w:left="-709"/>
        <w:rPr>
          <w:b/>
          <w:sz w:val="28"/>
          <w:szCs w:val="28"/>
          <w:lang w:val="en-US"/>
        </w:rPr>
      </w:pPr>
      <w:r w:rsidRPr="001B2C4B">
        <w:rPr>
          <w:b/>
          <w:sz w:val="28"/>
          <w:szCs w:val="28"/>
          <w:lang w:val="en-US"/>
        </w:rPr>
        <w:t>A</w:t>
      </w:r>
      <w:r w:rsidR="00AD79CB" w:rsidRPr="001B2C4B">
        <w:rPr>
          <w:b/>
          <w:sz w:val="28"/>
          <w:szCs w:val="28"/>
          <w:lang w:val="en-US"/>
        </w:rPr>
        <w:t>ccounting Policies</w:t>
      </w:r>
    </w:p>
    <w:p w14:paraId="4E2E977D" w14:textId="105F6D1E" w:rsidR="00E563CC" w:rsidRPr="001B2C4B" w:rsidRDefault="00E563CC" w:rsidP="001B2C4B">
      <w:pPr>
        <w:spacing w:before="100" w:beforeAutospacing="1"/>
        <w:ind w:left="-709"/>
        <w:rPr>
          <w:i/>
          <w:lang w:val="en-US"/>
        </w:rPr>
      </w:pPr>
      <w:r w:rsidRPr="001B2C4B">
        <w:rPr>
          <w:i/>
          <w:lang w:val="en-US"/>
        </w:rPr>
        <w:t xml:space="preserve">The next two questions were included to determine the coverage of accounting policies in each country.  </w:t>
      </w:r>
    </w:p>
    <w:p w14:paraId="1457CA2F" w14:textId="341FC8FB" w:rsidR="00720B47" w:rsidRPr="004A34F5" w:rsidRDefault="00AD79CB" w:rsidP="004A34F5">
      <w:pPr>
        <w:spacing w:before="100" w:beforeAutospacing="1"/>
        <w:ind w:left="-709"/>
        <w:rPr>
          <w:b/>
          <w:lang w:val="en-US"/>
        </w:rPr>
      </w:pPr>
      <w:r w:rsidRPr="004A34F5">
        <w:rPr>
          <w:b/>
          <w:lang w:val="en-US"/>
        </w:rPr>
        <w:t>Q</w:t>
      </w:r>
      <w:r w:rsidR="00DE26D4" w:rsidRPr="004A34F5">
        <w:rPr>
          <w:b/>
          <w:lang w:val="en-US"/>
        </w:rPr>
        <w:t>9-</w:t>
      </w:r>
      <w:r w:rsidRPr="004A34F5">
        <w:rPr>
          <w:b/>
          <w:lang w:val="en-US"/>
        </w:rPr>
        <w:t>Q</w:t>
      </w:r>
      <w:r w:rsidR="00DE26D4" w:rsidRPr="004A34F5">
        <w:rPr>
          <w:b/>
          <w:lang w:val="en-US"/>
        </w:rPr>
        <w:t>10</w:t>
      </w:r>
      <w:r w:rsidR="00CB32AA" w:rsidRPr="004A34F5">
        <w:rPr>
          <w:b/>
          <w:lang w:val="en-US"/>
        </w:rPr>
        <w:t xml:space="preserve">. </w:t>
      </w:r>
      <w:r w:rsidR="00DE26D4" w:rsidRPr="004A34F5">
        <w:rPr>
          <w:b/>
          <w:lang w:val="en-US"/>
        </w:rPr>
        <w:t>Does your country have accounting policies for the management of non-financial current and/or capital (fixed) assets in the public sector? Please indicate if you have an accounting policy for the following</w:t>
      </w:r>
      <w:r w:rsidR="00720B47" w:rsidRPr="004A34F5">
        <w:rPr>
          <w:b/>
          <w:lang w:val="en-US"/>
        </w:rPr>
        <w:t xml:space="preserve"> (see figure </w:t>
      </w:r>
      <w:r w:rsidR="00901127">
        <w:rPr>
          <w:b/>
          <w:lang w:val="en-US"/>
        </w:rPr>
        <w:t>5</w:t>
      </w:r>
      <w:r w:rsidR="00720B47" w:rsidRPr="004A34F5">
        <w:rPr>
          <w:b/>
          <w:lang w:val="en-US"/>
        </w:rPr>
        <w:t>)</w:t>
      </w:r>
      <w:r w:rsidR="00DE26D4" w:rsidRPr="004A34F5">
        <w:rPr>
          <w:b/>
          <w:lang w:val="en-US"/>
        </w:rPr>
        <w:t>?</w:t>
      </w:r>
    </w:p>
    <w:p w14:paraId="4AD9B933" w14:textId="77777777" w:rsidR="001B2C4B" w:rsidRDefault="001B2C4B" w:rsidP="008D6BBF">
      <w:pPr>
        <w:spacing w:before="100" w:beforeAutospacing="1"/>
        <w:ind w:left="-709" w:firstLine="142"/>
        <w:rPr>
          <w:b/>
          <w:i/>
          <w:lang w:val="en-US"/>
        </w:rPr>
      </w:pPr>
    </w:p>
    <w:p w14:paraId="1DA2AAE7" w14:textId="77777777" w:rsidR="001B2C4B" w:rsidRDefault="001B2C4B" w:rsidP="008D6BBF">
      <w:pPr>
        <w:spacing w:before="100" w:beforeAutospacing="1"/>
        <w:ind w:left="-709" w:firstLine="142"/>
        <w:rPr>
          <w:b/>
          <w:i/>
          <w:lang w:val="en-US"/>
        </w:rPr>
      </w:pPr>
    </w:p>
    <w:p w14:paraId="06F43276" w14:textId="51594D8E" w:rsidR="00720B47" w:rsidRPr="004A34F5" w:rsidRDefault="00720B47" w:rsidP="008D6BBF">
      <w:pPr>
        <w:spacing w:before="100" w:beforeAutospacing="1"/>
        <w:ind w:left="-709" w:firstLine="142"/>
        <w:rPr>
          <w:b/>
          <w:i/>
          <w:lang w:val="en-US"/>
        </w:rPr>
      </w:pPr>
      <w:r w:rsidRPr="004A34F5">
        <w:rPr>
          <w:b/>
          <w:i/>
          <w:lang w:val="en-US"/>
        </w:rPr>
        <w:t>Figure 5 – Accounting Policies</w:t>
      </w:r>
    </w:p>
    <w:p w14:paraId="2C04E323" w14:textId="46C85F06" w:rsidR="00963182" w:rsidRDefault="00C71AED" w:rsidP="008D6BBF">
      <w:pPr>
        <w:spacing w:before="100" w:beforeAutospacing="1"/>
        <w:ind w:left="-709" w:firstLine="142"/>
        <w:rPr>
          <w:lang w:val="en-US"/>
        </w:rPr>
      </w:pPr>
      <w:r w:rsidRPr="00C71AED">
        <w:rPr>
          <w:noProof/>
          <w:lang w:val="en-US" w:eastAsia="en-US"/>
        </w:rPr>
        <w:drawing>
          <wp:inline distT="0" distB="0" distL="0" distR="0" wp14:anchorId="0FF23203" wp14:editId="3A1121DA">
            <wp:extent cx="5044440" cy="2172335"/>
            <wp:effectExtent l="0" t="0" r="35560" b="374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8A927A" w14:textId="77777777" w:rsidR="00963182" w:rsidRDefault="00963182" w:rsidP="008D6BBF">
      <w:pPr>
        <w:spacing w:before="100" w:beforeAutospacing="1"/>
        <w:ind w:left="-709" w:firstLine="142"/>
        <w:rPr>
          <w:lang w:val="en-US"/>
        </w:rPr>
      </w:pPr>
    </w:p>
    <w:p w14:paraId="4635223A" w14:textId="5C3357F4" w:rsidR="00CB32AA" w:rsidRDefault="00DE26D4" w:rsidP="004A34F5">
      <w:pPr>
        <w:spacing w:before="100" w:beforeAutospacing="1"/>
        <w:ind w:left="-709"/>
        <w:rPr>
          <w:lang w:val="en-US"/>
        </w:rPr>
      </w:pPr>
      <w:r w:rsidRPr="00E902FC">
        <w:rPr>
          <w:lang w:val="en-US"/>
        </w:rPr>
        <w:t xml:space="preserve">There were </w:t>
      </w:r>
      <w:r w:rsidR="00C71AED">
        <w:rPr>
          <w:lang w:val="en-US"/>
        </w:rPr>
        <w:t xml:space="preserve">12 responses to question nine regarding whether accounting policies existed for non-financial assets. Two countries do not have any policies while 10 countries </w:t>
      </w:r>
      <w:r w:rsidR="000118CE">
        <w:rPr>
          <w:lang w:val="en-US"/>
        </w:rPr>
        <w:t xml:space="preserve">have indicated that they </w:t>
      </w:r>
      <w:r w:rsidR="00C71AED">
        <w:rPr>
          <w:lang w:val="en-US"/>
        </w:rPr>
        <w:t xml:space="preserve">do have policies. Of the ten countries with accounting policies for non-financial assets, at least five countries have an accounting policy in each area that a question was posed. The policy with the least number of countries is componentization where </w:t>
      </w:r>
      <w:r w:rsidR="00AD79CB">
        <w:rPr>
          <w:lang w:val="en-US"/>
        </w:rPr>
        <w:t xml:space="preserve">an equal number of respondents </w:t>
      </w:r>
      <w:r w:rsidR="00901127">
        <w:rPr>
          <w:lang w:val="en-US"/>
        </w:rPr>
        <w:t>have a policy as do not have a policy (five)</w:t>
      </w:r>
      <w:r w:rsidR="00C71AED">
        <w:rPr>
          <w:lang w:val="en-US"/>
        </w:rPr>
        <w:t>. This means that even in this area, the working group has five countries where the e</w:t>
      </w:r>
      <w:r w:rsidR="00AA0B08">
        <w:rPr>
          <w:lang w:val="en-US"/>
        </w:rPr>
        <w:t>x</w:t>
      </w:r>
      <w:r w:rsidR="00C71AED">
        <w:rPr>
          <w:lang w:val="en-US"/>
        </w:rPr>
        <w:t>isting</w:t>
      </w:r>
      <w:r w:rsidR="000118CE">
        <w:rPr>
          <w:lang w:val="en-US"/>
        </w:rPr>
        <w:t xml:space="preserve"> policies could be reviewed and</w:t>
      </w:r>
      <w:r w:rsidR="00AA0B08">
        <w:rPr>
          <w:lang w:val="en-US"/>
        </w:rPr>
        <w:t xml:space="preserve"> a general policy developed for the TCoP. </w:t>
      </w:r>
      <w:r w:rsidR="00C71AED">
        <w:rPr>
          <w:lang w:val="en-US"/>
        </w:rPr>
        <w:t xml:space="preserve"> </w:t>
      </w:r>
    </w:p>
    <w:p w14:paraId="7BD1528C" w14:textId="77777777" w:rsidR="00AA0B08" w:rsidRDefault="00AA0B08" w:rsidP="004A34F5">
      <w:pPr>
        <w:spacing w:before="100" w:beforeAutospacing="1"/>
        <w:ind w:left="-709"/>
        <w:rPr>
          <w:lang w:val="en-US"/>
        </w:rPr>
      </w:pPr>
      <w:r>
        <w:rPr>
          <w:lang w:val="en-US"/>
        </w:rPr>
        <w:t>Kazakhstan in its response made the important point that it does not have a specific policy for low value assets, but that these are treated in accordance with the general policies for all assets. Notwithstanding this it is likely that Kazakhstan has implemented asset thresholds below which assets are expensed, and above which they are recorded in the assets register for financial reporting and management.</w:t>
      </w:r>
      <w:r>
        <w:rPr>
          <w:rStyle w:val="FootnoteReference"/>
          <w:lang w:val="en-US"/>
        </w:rPr>
        <w:footnoteReference w:id="9"/>
      </w:r>
    </w:p>
    <w:p w14:paraId="2F1050AD" w14:textId="44B5617B" w:rsidR="00AA0B08" w:rsidRPr="00E563CC" w:rsidRDefault="000118CE" w:rsidP="004A34F5">
      <w:pPr>
        <w:spacing w:before="100" w:beforeAutospacing="1"/>
        <w:ind w:left="-709"/>
        <w:rPr>
          <w:i/>
          <w:lang w:val="en-US"/>
        </w:rPr>
      </w:pPr>
      <w:r w:rsidRPr="00E563CC">
        <w:rPr>
          <w:i/>
          <w:lang w:val="en-US"/>
        </w:rPr>
        <w:t>This is an area worth</w:t>
      </w:r>
      <w:r w:rsidR="00AA0B08" w:rsidRPr="00E563CC">
        <w:rPr>
          <w:i/>
          <w:lang w:val="en-US"/>
        </w:rPr>
        <w:t xml:space="preserve">y of further investigation including collecting information regarding threshold levels in each country for acquisition and capital repairs, and how these thresholds were determined, as this would be useful in developing a guidance note for country implementation.   </w:t>
      </w:r>
      <w:r w:rsidR="00E563CC">
        <w:rPr>
          <w:i/>
          <w:lang w:val="en-US"/>
        </w:rPr>
        <w:t xml:space="preserve">While the survey does not provide an indication regarding the quality of the policies and whether the policies accord with IPSAS, it does indicate that reviewing existing policies within the working group and benchmarking these against good practice would be a useful starting point.   </w:t>
      </w:r>
    </w:p>
    <w:p w14:paraId="29529437" w14:textId="6D78E6CC" w:rsidR="00720B47" w:rsidRPr="009E780F" w:rsidRDefault="009E780F" w:rsidP="001B2C4B">
      <w:pPr>
        <w:spacing w:before="100" w:beforeAutospacing="1"/>
        <w:ind w:left="-709" w:firstLine="142"/>
        <w:rPr>
          <w:b/>
          <w:sz w:val="28"/>
          <w:szCs w:val="28"/>
          <w:lang w:val="en-US"/>
        </w:rPr>
      </w:pPr>
      <w:r w:rsidRPr="009E780F">
        <w:rPr>
          <w:b/>
          <w:sz w:val="28"/>
          <w:szCs w:val="28"/>
          <w:lang w:val="en-US"/>
        </w:rPr>
        <w:t>Asset Registers</w:t>
      </w:r>
    </w:p>
    <w:p w14:paraId="58A70CC6" w14:textId="5046C586" w:rsidR="004A34F5" w:rsidRDefault="002501C1" w:rsidP="001B2C4B">
      <w:pPr>
        <w:spacing w:before="100" w:beforeAutospacing="1"/>
        <w:ind w:left="-709"/>
        <w:rPr>
          <w:i/>
          <w:lang w:val="en-US"/>
        </w:rPr>
      </w:pPr>
      <w:r w:rsidRPr="002501C1">
        <w:rPr>
          <w:i/>
          <w:lang w:val="en-US"/>
        </w:rPr>
        <w:t xml:space="preserve">An important element of being able to report the stock of non-financial assets in the financial statements, is the establishment of an assets register, where the cost of assets acquired or constructed are recorded, along with other important financial and non-financial information, such as location, </w:t>
      </w:r>
      <w:r w:rsidR="001B2C4B">
        <w:rPr>
          <w:i/>
          <w:lang w:val="en-US"/>
        </w:rPr>
        <w:t>organizational unit</w:t>
      </w:r>
      <w:r w:rsidR="00901127">
        <w:rPr>
          <w:i/>
          <w:lang w:val="en-US"/>
        </w:rPr>
        <w:t xml:space="preserve"> </w:t>
      </w:r>
      <w:r w:rsidRPr="002501C1">
        <w:rPr>
          <w:i/>
          <w:lang w:val="en-US"/>
        </w:rPr>
        <w:t>control</w:t>
      </w:r>
      <w:r w:rsidR="00901127">
        <w:rPr>
          <w:i/>
          <w:lang w:val="en-US"/>
        </w:rPr>
        <w:t>ling the asset</w:t>
      </w:r>
      <w:r w:rsidRPr="002501C1">
        <w:rPr>
          <w:i/>
          <w:lang w:val="en-US"/>
        </w:rPr>
        <w:t>, descriptions, accumulated deprecia</w:t>
      </w:r>
      <w:r w:rsidR="00720B47">
        <w:rPr>
          <w:i/>
          <w:lang w:val="en-US"/>
        </w:rPr>
        <w:t xml:space="preserve">tion and revaluation or </w:t>
      </w:r>
      <w:r w:rsidR="00563A6A">
        <w:rPr>
          <w:i/>
          <w:lang w:val="en-US"/>
        </w:rPr>
        <w:t>impairment</w:t>
      </w:r>
      <w:r w:rsidR="00563A6A" w:rsidRPr="002501C1">
        <w:rPr>
          <w:i/>
          <w:lang w:val="en-US"/>
        </w:rPr>
        <w:t xml:space="preserve"> changes</w:t>
      </w:r>
      <w:r w:rsidRPr="002501C1">
        <w:rPr>
          <w:i/>
          <w:lang w:val="en-US"/>
        </w:rPr>
        <w:t>. This series of questions is in place to determine whether such a register exists, and how it is maintained.</w:t>
      </w:r>
      <w:r w:rsidR="001B2C4B">
        <w:rPr>
          <w:i/>
          <w:lang w:val="en-US"/>
        </w:rPr>
        <w:t xml:space="preserve"> </w:t>
      </w:r>
      <w:r w:rsidRPr="002501C1">
        <w:rPr>
          <w:i/>
          <w:lang w:val="en-US"/>
        </w:rPr>
        <w:t xml:space="preserve">   </w:t>
      </w:r>
    </w:p>
    <w:p w14:paraId="2B95DD4B" w14:textId="77777777" w:rsidR="004A34F5" w:rsidRDefault="004A34F5" w:rsidP="004A34F5">
      <w:pPr>
        <w:ind w:left="-1134" w:firstLine="1134"/>
        <w:rPr>
          <w:i/>
          <w:lang w:val="en-US"/>
        </w:rPr>
      </w:pPr>
    </w:p>
    <w:p w14:paraId="4E4C9329" w14:textId="13EAC136" w:rsidR="00AC26ED" w:rsidRPr="001B2C4B" w:rsidRDefault="004A34F5" w:rsidP="001B2C4B">
      <w:pPr>
        <w:spacing w:before="100" w:beforeAutospacing="1"/>
        <w:ind w:left="-709"/>
        <w:rPr>
          <w:b/>
          <w:lang w:val="en-US"/>
        </w:rPr>
      </w:pPr>
      <w:r w:rsidRPr="001B2C4B">
        <w:rPr>
          <w:b/>
          <w:lang w:val="en-US"/>
        </w:rPr>
        <w:t>Q</w:t>
      </w:r>
      <w:r w:rsidR="002407AE" w:rsidRPr="001B2C4B">
        <w:rPr>
          <w:b/>
          <w:lang w:val="en-US"/>
        </w:rPr>
        <w:t>11</w:t>
      </w:r>
      <w:r w:rsidR="00980CBB" w:rsidRPr="001B2C4B">
        <w:rPr>
          <w:b/>
          <w:lang w:val="en-US"/>
        </w:rPr>
        <w:t xml:space="preserve"> Does your country maintain an assets’ register for managing non-financial assets?</w:t>
      </w:r>
    </w:p>
    <w:p w14:paraId="3874A4D4" w14:textId="77777777" w:rsidR="000118CE" w:rsidRPr="001B2C4B" w:rsidRDefault="000118CE" w:rsidP="001B2C4B">
      <w:pPr>
        <w:spacing w:before="100" w:beforeAutospacing="1"/>
        <w:ind w:left="-709"/>
        <w:rPr>
          <w:lang w:val="en-US"/>
        </w:rPr>
      </w:pPr>
    </w:p>
    <w:p w14:paraId="3E5DB54C" w14:textId="06201AFA" w:rsidR="00DE305B" w:rsidRPr="001B2C4B" w:rsidRDefault="00720B47" w:rsidP="001B2C4B">
      <w:pPr>
        <w:spacing w:before="100" w:beforeAutospacing="1"/>
        <w:ind w:left="-709"/>
        <w:rPr>
          <w:b/>
          <w:i/>
          <w:lang w:val="en-US"/>
        </w:rPr>
      </w:pPr>
      <w:r w:rsidRPr="001B2C4B">
        <w:rPr>
          <w:b/>
          <w:i/>
          <w:lang w:val="en-US"/>
        </w:rPr>
        <w:t>Figure 6 – Assets’ Register</w:t>
      </w:r>
    </w:p>
    <w:p w14:paraId="656EB984" w14:textId="10FBFDC5" w:rsidR="000118CE" w:rsidRPr="001B2C4B" w:rsidRDefault="00901127" w:rsidP="001B2C4B">
      <w:pPr>
        <w:spacing w:before="100" w:beforeAutospacing="1"/>
        <w:ind w:left="-709"/>
        <w:rPr>
          <w:lang w:val="en-US"/>
        </w:rPr>
      </w:pPr>
      <w:r w:rsidRPr="001B2C4B">
        <w:rPr>
          <w:noProof/>
          <w:lang w:val="en-US" w:eastAsia="en-US"/>
        </w:rPr>
        <w:drawing>
          <wp:inline distT="0" distB="0" distL="0" distR="0" wp14:anchorId="26F9A14D" wp14:editId="7B645F15">
            <wp:extent cx="3190240" cy="1924685"/>
            <wp:effectExtent l="0" t="0" r="35560" b="311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183773" w14:textId="77777777" w:rsidR="000118CE" w:rsidRPr="001B2C4B" w:rsidRDefault="000118CE" w:rsidP="001B2C4B">
      <w:pPr>
        <w:spacing w:before="100" w:beforeAutospacing="1"/>
        <w:ind w:left="-709"/>
        <w:rPr>
          <w:lang w:val="en-US"/>
        </w:rPr>
      </w:pPr>
    </w:p>
    <w:p w14:paraId="4463F180" w14:textId="18B791CF" w:rsidR="000118CE" w:rsidRPr="001B2C4B" w:rsidRDefault="00901127" w:rsidP="001B2C4B">
      <w:pPr>
        <w:spacing w:before="100" w:beforeAutospacing="1"/>
        <w:ind w:left="-709"/>
        <w:rPr>
          <w:lang w:val="en-US"/>
        </w:rPr>
      </w:pPr>
      <w:r w:rsidRPr="001B2C4B">
        <w:rPr>
          <w:lang w:val="en-US"/>
        </w:rPr>
        <w:t>All 12 countries responded, with nine indicating that</w:t>
      </w:r>
      <w:r w:rsidR="001B2C4B" w:rsidRPr="001B2C4B">
        <w:rPr>
          <w:lang w:val="en-US"/>
        </w:rPr>
        <w:t xml:space="preserve"> they d</w:t>
      </w:r>
      <w:r w:rsidR="000118CE" w:rsidRPr="001B2C4B">
        <w:rPr>
          <w:lang w:val="en-US"/>
        </w:rPr>
        <w:t>o maintain a register while t</w:t>
      </w:r>
      <w:r w:rsidRPr="001B2C4B">
        <w:rPr>
          <w:lang w:val="en-US"/>
        </w:rPr>
        <w:t>hree indicated that they</w:t>
      </w:r>
      <w:r w:rsidR="000118CE" w:rsidRPr="001B2C4B">
        <w:rPr>
          <w:lang w:val="en-US"/>
        </w:rPr>
        <w:t xml:space="preserve"> do not maintain a register.</w:t>
      </w:r>
    </w:p>
    <w:p w14:paraId="6AB65DDD" w14:textId="3002ED1D" w:rsidR="00CC6036" w:rsidRPr="001B2C4B" w:rsidRDefault="004A34F5" w:rsidP="001B2C4B">
      <w:pPr>
        <w:spacing w:before="100" w:beforeAutospacing="1"/>
        <w:ind w:left="-709"/>
        <w:rPr>
          <w:b/>
          <w:lang w:val="en-US"/>
        </w:rPr>
      </w:pPr>
      <w:r w:rsidRPr="001B2C4B">
        <w:rPr>
          <w:b/>
          <w:lang w:val="en-US"/>
        </w:rPr>
        <w:t>Q</w:t>
      </w:r>
      <w:r w:rsidR="00CC6036" w:rsidRPr="001B2C4B">
        <w:rPr>
          <w:b/>
          <w:lang w:val="en-US"/>
        </w:rPr>
        <w:t>12. Is the register for all non-financial assets or for specific classes of assets?</w:t>
      </w:r>
    </w:p>
    <w:p w14:paraId="51D6C24F" w14:textId="77777777" w:rsidR="00E6478E" w:rsidRPr="001B2C4B" w:rsidRDefault="00E6478E" w:rsidP="001B2C4B">
      <w:pPr>
        <w:spacing w:before="100" w:beforeAutospacing="1"/>
        <w:ind w:left="-709"/>
        <w:rPr>
          <w:lang w:val="en-US"/>
        </w:rPr>
      </w:pPr>
    </w:p>
    <w:p w14:paraId="2C00E8B9" w14:textId="28D60C13" w:rsidR="00DE305B" w:rsidRPr="001B2C4B" w:rsidRDefault="00DE305B" w:rsidP="001B2C4B">
      <w:pPr>
        <w:spacing w:before="100" w:beforeAutospacing="1"/>
        <w:ind w:left="-709"/>
        <w:rPr>
          <w:b/>
          <w:i/>
          <w:lang w:val="en-US"/>
        </w:rPr>
      </w:pPr>
      <w:r w:rsidRPr="001B2C4B">
        <w:rPr>
          <w:b/>
          <w:i/>
          <w:lang w:val="en-US"/>
        </w:rPr>
        <w:t>Figure 7</w:t>
      </w:r>
      <w:r w:rsidR="00563A6A" w:rsidRPr="001B2C4B">
        <w:rPr>
          <w:b/>
          <w:i/>
          <w:lang w:val="en-US"/>
        </w:rPr>
        <w:t>- Scope</w:t>
      </w:r>
      <w:r w:rsidRPr="001B2C4B">
        <w:rPr>
          <w:b/>
          <w:i/>
          <w:lang w:val="en-US"/>
        </w:rPr>
        <w:t xml:space="preserve"> of the Assets’ Register</w:t>
      </w:r>
    </w:p>
    <w:p w14:paraId="150AACF4" w14:textId="55617363" w:rsidR="00E6478E" w:rsidRPr="001B2C4B" w:rsidRDefault="00901127" w:rsidP="001B2C4B">
      <w:pPr>
        <w:spacing w:before="100" w:beforeAutospacing="1"/>
        <w:ind w:left="-709"/>
        <w:rPr>
          <w:lang w:val="en-US"/>
        </w:rPr>
      </w:pPr>
      <w:r w:rsidRPr="001B2C4B">
        <w:rPr>
          <w:noProof/>
          <w:lang w:val="en-US" w:eastAsia="en-US"/>
        </w:rPr>
        <w:drawing>
          <wp:inline distT="0" distB="0" distL="0" distR="0" wp14:anchorId="06F03717" wp14:editId="075572E9">
            <wp:extent cx="3317240" cy="1962785"/>
            <wp:effectExtent l="0" t="0" r="35560" b="184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6BE510" w14:textId="169477DB" w:rsidR="00E6478E" w:rsidRPr="001B2C4B" w:rsidRDefault="00E6478E" w:rsidP="001B2C4B">
      <w:pPr>
        <w:spacing w:before="100" w:beforeAutospacing="1"/>
        <w:ind w:left="-709"/>
        <w:rPr>
          <w:lang w:val="en-US"/>
        </w:rPr>
      </w:pPr>
      <w:r w:rsidRPr="00DE305B">
        <w:rPr>
          <w:lang w:val="en-US"/>
        </w:rPr>
        <w:t xml:space="preserve">Of the nine countries that responded, four indicated the registers included all assets, while five indicated that the register only included specific types of assets.  Where a country indicated that the register was for specific types of assets it was </w:t>
      </w:r>
      <w:r w:rsidR="00DE305B" w:rsidRPr="00DE305B">
        <w:rPr>
          <w:lang w:val="en-US"/>
        </w:rPr>
        <w:t xml:space="preserve">further </w:t>
      </w:r>
      <w:r w:rsidRPr="00DE305B">
        <w:rPr>
          <w:lang w:val="en-US"/>
        </w:rPr>
        <w:t xml:space="preserve">requested to provide details on the types of assets included. </w:t>
      </w:r>
    </w:p>
    <w:p w14:paraId="18CA3ECD" w14:textId="77777777" w:rsidR="002501C1" w:rsidRPr="00DE305B" w:rsidRDefault="002501C1" w:rsidP="001B2C4B">
      <w:pPr>
        <w:spacing w:before="100" w:beforeAutospacing="1"/>
        <w:ind w:left="-709"/>
        <w:rPr>
          <w:lang w:val="en-US"/>
        </w:rPr>
      </w:pPr>
      <w:r w:rsidRPr="00DE305B">
        <w:rPr>
          <w:lang w:val="en-US"/>
        </w:rPr>
        <w:t>Countries where the register is only for specific types of assets provided the following responses:</w:t>
      </w:r>
    </w:p>
    <w:p w14:paraId="13C8FAD1" w14:textId="7B4F49B9" w:rsidR="002501C1" w:rsidRPr="001B2C4B" w:rsidRDefault="002501C1" w:rsidP="001B2C4B">
      <w:pPr>
        <w:spacing w:before="100" w:beforeAutospacing="1"/>
        <w:ind w:left="-709"/>
        <w:rPr>
          <w:lang w:val="en-US"/>
        </w:rPr>
      </w:pPr>
    </w:p>
    <w:p w14:paraId="6714573E" w14:textId="5C370FF1" w:rsidR="002501C1" w:rsidRPr="001B2C4B" w:rsidRDefault="002501C1" w:rsidP="001B2C4B">
      <w:pPr>
        <w:pStyle w:val="ListParagraph"/>
        <w:numPr>
          <w:ilvl w:val="0"/>
          <w:numId w:val="12"/>
        </w:numPr>
        <w:spacing w:before="100" w:beforeAutospacing="1"/>
        <w:rPr>
          <w:lang w:val="en-US"/>
        </w:rPr>
      </w:pPr>
      <w:r w:rsidRPr="001B2C4B">
        <w:rPr>
          <w:lang w:val="en-US"/>
        </w:rPr>
        <w:t>Buildings, construction equipment, and vehicles</w:t>
      </w:r>
    </w:p>
    <w:p w14:paraId="657D81D0" w14:textId="2E5A94AC" w:rsidR="002501C1" w:rsidRPr="001B2C4B" w:rsidRDefault="00A040C4" w:rsidP="001B2C4B">
      <w:pPr>
        <w:pStyle w:val="ListParagraph"/>
        <w:numPr>
          <w:ilvl w:val="0"/>
          <w:numId w:val="12"/>
        </w:numPr>
        <w:spacing w:before="100" w:beforeAutospacing="1"/>
        <w:rPr>
          <w:lang w:val="en-US"/>
        </w:rPr>
      </w:pPr>
      <w:r w:rsidRPr="001B2C4B">
        <w:rPr>
          <w:lang w:val="en-US"/>
        </w:rPr>
        <w:t>Capital</w:t>
      </w:r>
      <w:r w:rsidR="002501C1" w:rsidRPr="001B2C4B">
        <w:rPr>
          <w:lang w:val="en-US"/>
        </w:rPr>
        <w:t xml:space="preserve"> assets, low-value and short-life items</w:t>
      </w:r>
    </w:p>
    <w:p w14:paraId="08D6FE2A" w14:textId="574C3290" w:rsidR="002501C1" w:rsidRPr="001B2C4B" w:rsidRDefault="00C83F3F" w:rsidP="001B2C4B">
      <w:pPr>
        <w:pStyle w:val="ListParagraph"/>
        <w:numPr>
          <w:ilvl w:val="0"/>
          <w:numId w:val="12"/>
        </w:numPr>
        <w:spacing w:before="100" w:beforeAutospacing="1"/>
        <w:rPr>
          <w:lang w:val="en-US"/>
        </w:rPr>
      </w:pPr>
      <w:r w:rsidRPr="001B2C4B">
        <w:rPr>
          <w:lang w:val="en-US"/>
        </w:rPr>
        <w:t>Buildings, land and equipment</w:t>
      </w:r>
    </w:p>
    <w:p w14:paraId="2DC289C3" w14:textId="77777777" w:rsidR="002501C1" w:rsidRPr="001B2C4B" w:rsidRDefault="002501C1" w:rsidP="001B2C4B">
      <w:pPr>
        <w:pStyle w:val="ListParagraph"/>
        <w:numPr>
          <w:ilvl w:val="0"/>
          <w:numId w:val="12"/>
        </w:numPr>
        <w:spacing w:before="100" w:beforeAutospacing="1"/>
        <w:rPr>
          <w:lang w:val="en-US"/>
        </w:rPr>
      </w:pPr>
      <w:r w:rsidRPr="001B2C4B">
        <w:rPr>
          <w:lang w:val="en-US"/>
        </w:rPr>
        <w:t>Capital assets (buildings, constructions, machinery and equipment, transport etc)</w:t>
      </w:r>
    </w:p>
    <w:p w14:paraId="329815AF" w14:textId="62F904B2" w:rsidR="002501C1" w:rsidRPr="001B2C4B" w:rsidRDefault="002B7A31" w:rsidP="001B2C4B">
      <w:pPr>
        <w:pStyle w:val="ListParagraph"/>
        <w:numPr>
          <w:ilvl w:val="0"/>
          <w:numId w:val="12"/>
        </w:numPr>
        <w:spacing w:before="100" w:beforeAutospacing="1"/>
        <w:rPr>
          <w:lang w:val="en-US"/>
        </w:rPr>
      </w:pPr>
      <w:r w:rsidRPr="001B2C4B">
        <w:rPr>
          <w:lang w:val="en-US"/>
        </w:rPr>
        <w:t>Real estate (immovable property): - building - engineering constructions - land - construction in progress - other assets (items</w:t>
      </w:r>
      <w:r w:rsidR="00A040C4" w:rsidRPr="001B2C4B">
        <w:rPr>
          <w:lang w:val="en-US"/>
        </w:rPr>
        <w:t>),</w:t>
      </w:r>
      <w:r w:rsidRPr="001B2C4B">
        <w:rPr>
          <w:lang w:val="en-US"/>
        </w:rPr>
        <w:t xml:space="preserve"> with immovable status (the rights to which are subject to state </w:t>
      </w:r>
      <w:r w:rsidRPr="001B2C4B">
        <w:rPr>
          <w:lang w:val="en-US"/>
        </w:rPr>
        <w:lastRenderedPageBreak/>
        <w:t>registration): - aircrafts - marine and river vessel - cosmic objects - road vehicles - electric vehicles - farm equipment. II. Movable property (movables) - vehicles (the rights to which are not subject to state registration) - equipment, inventory and other movable propert</w:t>
      </w:r>
      <w:r w:rsidR="008A1AEE">
        <w:rPr>
          <w:lang w:val="en-US"/>
        </w:rPr>
        <w:t>y</w:t>
      </w:r>
      <w:r w:rsidR="00DE305B" w:rsidRPr="001B2C4B">
        <w:rPr>
          <w:lang w:val="en-US"/>
        </w:rPr>
        <w:t>. III. Other special property</w:t>
      </w:r>
      <w:r w:rsidRPr="001B2C4B">
        <w:rPr>
          <w:lang w:val="en-US"/>
        </w:rPr>
        <w:t>: - military equipment - special objects of the civil rights - plantations - objects of in</w:t>
      </w:r>
      <w:r w:rsidR="001B2C4B">
        <w:rPr>
          <w:lang w:val="en-US"/>
        </w:rPr>
        <w:t>tellectual property rights</w:t>
      </w:r>
      <w:r w:rsidRPr="001B2C4B">
        <w:rPr>
          <w:lang w:val="en-US"/>
        </w:rPr>
        <w:t>.</w:t>
      </w:r>
    </w:p>
    <w:p w14:paraId="2D8FCDDB" w14:textId="61CF01E7" w:rsidR="002B7A31" w:rsidRDefault="003C2CBF" w:rsidP="001B2C4B">
      <w:pPr>
        <w:spacing w:before="100" w:beforeAutospacing="1"/>
        <w:ind w:left="-709"/>
        <w:rPr>
          <w:lang w:val="en-US"/>
        </w:rPr>
      </w:pPr>
      <w:r>
        <w:rPr>
          <w:lang w:val="en-US"/>
        </w:rPr>
        <w:t xml:space="preserve">The responses show a reasonably consistent approach across </w:t>
      </w:r>
      <w:r w:rsidR="002B7A31" w:rsidRPr="002B7A31">
        <w:rPr>
          <w:lang w:val="en-US"/>
        </w:rPr>
        <w:t>the five countries that provided information</w:t>
      </w:r>
      <w:r>
        <w:rPr>
          <w:lang w:val="en-US"/>
        </w:rPr>
        <w:t>, with most including fixed assets such as land building and equipment (</w:t>
      </w:r>
      <w:r w:rsidR="00901127">
        <w:rPr>
          <w:lang w:val="en-US"/>
        </w:rPr>
        <w:t>largely consistent with property</w:t>
      </w:r>
      <w:r w:rsidR="008A1AEE">
        <w:rPr>
          <w:lang w:val="en-US"/>
        </w:rPr>
        <w:t>,</w:t>
      </w:r>
      <w:r w:rsidR="00901127">
        <w:rPr>
          <w:lang w:val="en-US"/>
        </w:rPr>
        <w:t xml:space="preserve"> plant and equipment - </w:t>
      </w:r>
      <w:r>
        <w:rPr>
          <w:lang w:val="en-US"/>
        </w:rPr>
        <w:t xml:space="preserve">IPSAS 17). </w:t>
      </w:r>
      <w:r w:rsidR="00901127">
        <w:rPr>
          <w:lang w:val="en-US"/>
        </w:rPr>
        <w:t>Variances to this included: one</w:t>
      </w:r>
      <w:r>
        <w:rPr>
          <w:lang w:val="en-US"/>
        </w:rPr>
        <w:t xml:space="preserve"> country does not include land although </w:t>
      </w:r>
      <w:r w:rsidR="002B7A31" w:rsidRPr="002B7A31">
        <w:rPr>
          <w:lang w:val="en-US"/>
        </w:rPr>
        <w:t>it maybe that land is maintained in a separate cadastral</w:t>
      </w:r>
      <w:r>
        <w:rPr>
          <w:lang w:val="en-US"/>
        </w:rPr>
        <w:t xml:space="preserve"> register</w:t>
      </w:r>
      <w:r w:rsidR="00901127">
        <w:rPr>
          <w:lang w:val="en-US"/>
        </w:rPr>
        <w:t>;</w:t>
      </w:r>
      <w:r w:rsidR="002B7A31" w:rsidRPr="002B7A31">
        <w:rPr>
          <w:lang w:val="en-US"/>
        </w:rPr>
        <w:t xml:space="preserve"> </w:t>
      </w:r>
      <w:r w:rsidR="00901127">
        <w:rPr>
          <w:lang w:val="en-US"/>
        </w:rPr>
        <w:t>and one country</w:t>
      </w:r>
      <w:r w:rsidR="002B7A31" w:rsidRPr="002B7A31">
        <w:rPr>
          <w:lang w:val="en-US"/>
        </w:rPr>
        <w:t xml:space="preserve"> in</w:t>
      </w:r>
      <w:r w:rsidR="00901127">
        <w:rPr>
          <w:lang w:val="en-US"/>
        </w:rPr>
        <w:t>cludes</w:t>
      </w:r>
      <w:r w:rsidR="002B7A31" w:rsidRPr="002B7A31">
        <w:rPr>
          <w:lang w:val="en-US"/>
        </w:rPr>
        <w:t xml:space="preserve"> </w:t>
      </w:r>
      <w:r w:rsidR="00A040C4" w:rsidRPr="002B7A31">
        <w:rPr>
          <w:lang w:val="en-US"/>
        </w:rPr>
        <w:t>items that</w:t>
      </w:r>
      <w:r w:rsidR="002B7A31" w:rsidRPr="002B7A31">
        <w:rPr>
          <w:lang w:val="en-US"/>
        </w:rPr>
        <w:t xml:space="preserve"> are not material </w:t>
      </w:r>
      <w:r w:rsidR="00DE305B">
        <w:rPr>
          <w:lang w:val="en-US"/>
        </w:rPr>
        <w:t xml:space="preserve">(low value) </w:t>
      </w:r>
      <w:r w:rsidR="002B7A31" w:rsidRPr="002B7A31">
        <w:rPr>
          <w:lang w:val="en-US"/>
        </w:rPr>
        <w:t xml:space="preserve">in </w:t>
      </w:r>
      <w:r w:rsidR="00901127">
        <w:rPr>
          <w:lang w:val="en-US"/>
        </w:rPr>
        <w:t>its</w:t>
      </w:r>
      <w:r w:rsidR="002B7A31" w:rsidRPr="002B7A31">
        <w:rPr>
          <w:lang w:val="en-US"/>
        </w:rPr>
        <w:t xml:space="preserve"> register. As indicated earlier, countries do need to maintain a register for these</w:t>
      </w:r>
      <w:r w:rsidR="00DE305B">
        <w:rPr>
          <w:lang w:val="en-US"/>
        </w:rPr>
        <w:t xml:space="preserve"> assets,</w:t>
      </w:r>
      <w:r w:rsidR="002B7A31" w:rsidRPr="002B7A31">
        <w:rPr>
          <w:lang w:val="en-US"/>
        </w:rPr>
        <w:t xml:space="preserve"> but it should ideally be separate from those material assets for financial reporting</w:t>
      </w:r>
      <w:r w:rsidR="00901127">
        <w:rPr>
          <w:lang w:val="en-US"/>
        </w:rPr>
        <w:t>.</w:t>
      </w:r>
      <w:r w:rsidR="002B7A31">
        <w:rPr>
          <w:lang w:val="en-US"/>
        </w:rPr>
        <w:t xml:space="preserve"> </w:t>
      </w:r>
    </w:p>
    <w:p w14:paraId="4643895F" w14:textId="666DBB9A" w:rsidR="002501C1" w:rsidRPr="008A1AEE" w:rsidRDefault="002B7A31" w:rsidP="008A1AEE">
      <w:pPr>
        <w:spacing w:before="100" w:beforeAutospacing="1"/>
        <w:ind w:left="-709"/>
        <w:rPr>
          <w:i/>
          <w:lang w:val="en-US"/>
        </w:rPr>
      </w:pPr>
      <w:r w:rsidRPr="008A1AEE">
        <w:rPr>
          <w:i/>
          <w:lang w:val="en-US"/>
        </w:rPr>
        <w:t xml:space="preserve">It appears that a number of countries have in place an adequately designed register which covers most material assets for determining the changes from the opening to the closing balances for reporting in the financial statements, although more specific information would be required to be definitive on this observation. </w:t>
      </w:r>
      <w:r w:rsidR="00DE305B" w:rsidRPr="008A1AEE">
        <w:rPr>
          <w:i/>
          <w:lang w:val="en-US"/>
        </w:rPr>
        <w:t xml:space="preserve">Areas where additional information would be useful </w:t>
      </w:r>
      <w:r w:rsidRPr="008A1AEE">
        <w:rPr>
          <w:i/>
          <w:lang w:val="en-US"/>
        </w:rPr>
        <w:t>include</w:t>
      </w:r>
      <w:r w:rsidR="00DE305B" w:rsidRPr="008A1AEE">
        <w:rPr>
          <w:i/>
          <w:lang w:val="en-US"/>
        </w:rPr>
        <w:t>:</w:t>
      </w:r>
      <w:r w:rsidRPr="008A1AEE">
        <w:rPr>
          <w:i/>
          <w:lang w:val="en-US"/>
        </w:rPr>
        <w:t xml:space="preserve"> </w:t>
      </w:r>
      <w:r w:rsidR="00DE305B" w:rsidRPr="008A1AEE">
        <w:rPr>
          <w:i/>
          <w:lang w:val="en-US"/>
        </w:rPr>
        <w:t xml:space="preserve">the processes in place to manage assets and to adjust the accounting information in the register for financial reporting and </w:t>
      </w:r>
      <w:r w:rsidRPr="008A1AEE">
        <w:rPr>
          <w:i/>
          <w:lang w:val="en-US"/>
        </w:rPr>
        <w:t xml:space="preserve">the classes or types of material </w:t>
      </w:r>
      <w:r w:rsidR="00A040C4" w:rsidRPr="008A1AEE">
        <w:rPr>
          <w:i/>
          <w:lang w:val="en-US"/>
        </w:rPr>
        <w:t>assets that</w:t>
      </w:r>
      <w:r w:rsidRPr="008A1AEE">
        <w:rPr>
          <w:i/>
          <w:lang w:val="en-US"/>
        </w:rPr>
        <w:t xml:space="preserve"> are not included in the register</w:t>
      </w:r>
      <w:r w:rsidR="00DE305B" w:rsidRPr="008A1AEE">
        <w:rPr>
          <w:i/>
          <w:lang w:val="en-US"/>
        </w:rPr>
        <w:t>.</w:t>
      </w:r>
      <w:r w:rsidRPr="008A1AEE">
        <w:rPr>
          <w:i/>
          <w:lang w:val="en-US"/>
        </w:rPr>
        <w:t xml:space="preserve"> It may also be interesting to determine the degree to which the register</w:t>
      </w:r>
      <w:r w:rsidR="00DE305B" w:rsidRPr="008A1AEE">
        <w:rPr>
          <w:i/>
          <w:lang w:val="en-US"/>
        </w:rPr>
        <w:t>’s</w:t>
      </w:r>
      <w:r w:rsidRPr="008A1AEE">
        <w:rPr>
          <w:i/>
          <w:lang w:val="en-US"/>
        </w:rPr>
        <w:t xml:space="preserve"> </w:t>
      </w:r>
      <w:r w:rsidR="00A4189E" w:rsidRPr="008A1AEE">
        <w:rPr>
          <w:i/>
          <w:lang w:val="en-US"/>
        </w:rPr>
        <w:t xml:space="preserve">financial transactions are recorded or linked to the general ledger of the accounting system. Ideally, an assets register would be a sub-ledger of the general ledger in the accounting system. </w:t>
      </w:r>
    </w:p>
    <w:p w14:paraId="28DCCC4A" w14:textId="278A6835" w:rsidR="00DE305B" w:rsidRPr="001B2C4B" w:rsidRDefault="008A1AEE" w:rsidP="001B2C4B">
      <w:pPr>
        <w:spacing w:before="100" w:beforeAutospacing="1"/>
        <w:ind w:left="-709"/>
        <w:rPr>
          <w:b/>
          <w:lang w:val="en-US"/>
        </w:rPr>
      </w:pPr>
      <w:r>
        <w:rPr>
          <w:b/>
          <w:lang w:val="en-US"/>
        </w:rPr>
        <w:t>Q</w:t>
      </w:r>
      <w:r w:rsidR="00CC6036" w:rsidRPr="001B2C4B">
        <w:rPr>
          <w:b/>
          <w:lang w:val="en-US"/>
        </w:rPr>
        <w:t>13. Is the assets’ register maintained centrally or are registers maintained in line ministries?</w:t>
      </w:r>
    </w:p>
    <w:p w14:paraId="0AD10194" w14:textId="62A6BC18" w:rsidR="00DE305B" w:rsidRPr="001B2C4B" w:rsidRDefault="00DE305B" w:rsidP="001B2C4B">
      <w:pPr>
        <w:spacing w:before="100" w:beforeAutospacing="1"/>
        <w:ind w:left="-709"/>
        <w:rPr>
          <w:b/>
          <w:i/>
          <w:lang w:val="en-US"/>
        </w:rPr>
      </w:pPr>
      <w:r w:rsidRPr="001B2C4B">
        <w:rPr>
          <w:b/>
          <w:i/>
          <w:lang w:val="en-US"/>
        </w:rPr>
        <w:t>Figure 8 –</w:t>
      </w:r>
      <w:r w:rsidR="00563A6A" w:rsidRPr="001B2C4B">
        <w:rPr>
          <w:b/>
          <w:i/>
          <w:lang w:val="en-US"/>
        </w:rPr>
        <w:t>maintenance</w:t>
      </w:r>
      <w:r w:rsidRPr="001B2C4B">
        <w:rPr>
          <w:b/>
          <w:i/>
          <w:lang w:val="en-US"/>
        </w:rPr>
        <w:t xml:space="preserve"> of asset’s registers</w:t>
      </w:r>
    </w:p>
    <w:p w14:paraId="07D8D3F7" w14:textId="5967BA92" w:rsidR="00E6478E" w:rsidRPr="001B2C4B" w:rsidRDefault="00B9394A" w:rsidP="008A1AEE">
      <w:pPr>
        <w:spacing w:before="100" w:beforeAutospacing="1"/>
        <w:ind w:left="-709"/>
        <w:rPr>
          <w:lang w:val="en-US"/>
        </w:rPr>
      </w:pPr>
      <w:r w:rsidRPr="001B2C4B">
        <w:rPr>
          <w:noProof/>
          <w:lang w:val="en-US" w:eastAsia="en-US"/>
        </w:rPr>
        <w:drawing>
          <wp:inline distT="0" distB="0" distL="0" distR="0" wp14:anchorId="745206A5" wp14:editId="7425F888">
            <wp:extent cx="3088640" cy="1740535"/>
            <wp:effectExtent l="0" t="0" r="35560" b="3746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596DF9" w14:textId="318ACD9F" w:rsidR="00DE305B" w:rsidRPr="00DE305B" w:rsidRDefault="00E6478E" w:rsidP="001B2C4B">
      <w:pPr>
        <w:spacing w:before="100" w:beforeAutospacing="1"/>
        <w:ind w:left="-709"/>
        <w:rPr>
          <w:lang w:val="en-US"/>
        </w:rPr>
      </w:pPr>
      <w:r w:rsidRPr="00DE305B">
        <w:rPr>
          <w:lang w:val="en-US"/>
        </w:rPr>
        <w:t xml:space="preserve">Two countries maintain central assets registers, three maintain registers in line ministries and four countries maintain a combination of central and line ministry registers. </w:t>
      </w:r>
    </w:p>
    <w:p w14:paraId="1FB3AB71" w14:textId="3F77EA04" w:rsidR="008D6BBF" w:rsidRPr="001B2C4B" w:rsidRDefault="00E6478E" w:rsidP="001B2C4B">
      <w:pPr>
        <w:spacing w:before="100" w:beforeAutospacing="1"/>
        <w:ind w:left="-709"/>
        <w:rPr>
          <w:lang w:val="en-US"/>
        </w:rPr>
      </w:pPr>
      <w:r w:rsidRPr="001B2C4B">
        <w:rPr>
          <w:lang w:val="en-US"/>
        </w:rPr>
        <w:t>This question requires a supplementary question on what is maintained in the two registers,</w:t>
      </w:r>
      <w:r w:rsidR="00A4189E" w:rsidRPr="001B2C4B">
        <w:rPr>
          <w:lang w:val="en-US"/>
        </w:rPr>
        <w:t xml:space="preserve"> where countries indicated they have both central and line ministry registers. </w:t>
      </w:r>
      <w:r w:rsidR="00B9394A" w:rsidRPr="001B2C4B">
        <w:rPr>
          <w:lang w:val="en-US"/>
        </w:rPr>
        <w:t>It would be important to</w:t>
      </w:r>
      <w:r w:rsidR="00A4189E" w:rsidRPr="001B2C4B">
        <w:rPr>
          <w:lang w:val="en-US"/>
        </w:rPr>
        <w:t xml:space="preserve"> determine </w:t>
      </w:r>
      <w:r w:rsidRPr="001B2C4B">
        <w:rPr>
          <w:lang w:val="en-US"/>
        </w:rPr>
        <w:t>whether it is different information or the same, and if the same, how it is reconciled.</w:t>
      </w:r>
    </w:p>
    <w:p w14:paraId="021FDB5C" w14:textId="77777777" w:rsidR="00DC21A5" w:rsidRPr="001B2C4B" w:rsidRDefault="00DC21A5" w:rsidP="008A1AEE">
      <w:pPr>
        <w:spacing w:before="100" w:beforeAutospacing="1"/>
        <w:rPr>
          <w:lang w:val="en-US"/>
        </w:rPr>
      </w:pPr>
    </w:p>
    <w:p w14:paraId="5A5562EE" w14:textId="77777777" w:rsidR="008A1AEE" w:rsidRDefault="008A1AEE" w:rsidP="001B2C4B">
      <w:pPr>
        <w:spacing w:before="100" w:beforeAutospacing="1"/>
        <w:ind w:left="-709"/>
        <w:rPr>
          <w:b/>
          <w:lang w:val="en-US"/>
        </w:rPr>
      </w:pPr>
    </w:p>
    <w:p w14:paraId="18C122F3" w14:textId="77777777" w:rsidR="008A1AEE" w:rsidRDefault="008A1AEE" w:rsidP="001B2C4B">
      <w:pPr>
        <w:spacing w:before="100" w:beforeAutospacing="1"/>
        <w:ind w:left="-709"/>
        <w:rPr>
          <w:b/>
          <w:lang w:val="en-US"/>
        </w:rPr>
      </w:pPr>
    </w:p>
    <w:p w14:paraId="446679A0" w14:textId="77777777" w:rsidR="008A1AEE" w:rsidRDefault="008A1AEE" w:rsidP="001B2C4B">
      <w:pPr>
        <w:spacing w:before="100" w:beforeAutospacing="1"/>
        <w:ind w:left="-709"/>
        <w:rPr>
          <w:b/>
          <w:lang w:val="en-US"/>
        </w:rPr>
      </w:pPr>
    </w:p>
    <w:p w14:paraId="2A54D58E" w14:textId="77777777" w:rsidR="008A1AEE" w:rsidRDefault="008A1AEE" w:rsidP="001B2C4B">
      <w:pPr>
        <w:spacing w:before="100" w:beforeAutospacing="1"/>
        <w:ind w:left="-709"/>
        <w:rPr>
          <w:b/>
          <w:lang w:val="en-US"/>
        </w:rPr>
      </w:pPr>
    </w:p>
    <w:p w14:paraId="1DFEFDA5" w14:textId="68551757" w:rsidR="008A1AEE" w:rsidRPr="008A1AEE" w:rsidRDefault="00B9394A" w:rsidP="008A1AEE">
      <w:pPr>
        <w:spacing w:before="100" w:beforeAutospacing="1"/>
        <w:ind w:left="-709"/>
        <w:rPr>
          <w:b/>
          <w:lang w:val="en-US"/>
        </w:rPr>
      </w:pPr>
      <w:r w:rsidRPr="001B2C4B">
        <w:rPr>
          <w:b/>
          <w:lang w:val="en-US"/>
        </w:rPr>
        <w:lastRenderedPageBreak/>
        <w:t>Q</w:t>
      </w:r>
      <w:r w:rsidR="00EB12BD" w:rsidRPr="001B2C4B">
        <w:rPr>
          <w:b/>
          <w:lang w:val="en-US"/>
        </w:rPr>
        <w:t xml:space="preserve">14. Is the assets’ register manual or electronic? </w:t>
      </w:r>
    </w:p>
    <w:p w14:paraId="557BAC6C" w14:textId="6F42AC66" w:rsidR="00DE305B" w:rsidRPr="001B2C4B" w:rsidRDefault="00DE305B" w:rsidP="001B2C4B">
      <w:pPr>
        <w:spacing w:before="100" w:beforeAutospacing="1"/>
        <w:ind w:left="-709"/>
        <w:rPr>
          <w:b/>
          <w:i/>
          <w:lang w:val="en-US"/>
        </w:rPr>
      </w:pPr>
      <w:r w:rsidRPr="001B2C4B">
        <w:rPr>
          <w:b/>
          <w:i/>
          <w:lang w:val="en-US"/>
        </w:rPr>
        <w:t>Figure 9 – Manual or Electronic Registers</w:t>
      </w:r>
    </w:p>
    <w:p w14:paraId="282E3894" w14:textId="5DCAF463" w:rsidR="004A7854" w:rsidRDefault="004A7854" w:rsidP="001B2C4B">
      <w:pPr>
        <w:spacing w:before="100" w:beforeAutospacing="1"/>
        <w:ind w:left="-709"/>
        <w:rPr>
          <w:lang w:val="en-US"/>
        </w:rPr>
      </w:pPr>
      <w:r w:rsidRPr="004A7854">
        <w:rPr>
          <w:noProof/>
          <w:lang w:val="en-US" w:eastAsia="en-US"/>
        </w:rPr>
        <w:drawing>
          <wp:inline distT="0" distB="0" distL="0" distR="0" wp14:anchorId="3E8A46C8" wp14:editId="185EE25C">
            <wp:extent cx="3220085" cy="1435735"/>
            <wp:effectExtent l="0" t="0" r="31115" b="374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7B6B15" w14:textId="184FC4E3" w:rsidR="00DB0E88" w:rsidRDefault="004A7854" w:rsidP="00A4189E">
      <w:pPr>
        <w:spacing w:before="100" w:beforeAutospacing="1"/>
        <w:ind w:left="-709"/>
        <w:rPr>
          <w:lang w:val="en-US"/>
        </w:rPr>
      </w:pPr>
      <w:r>
        <w:rPr>
          <w:lang w:val="en-US"/>
        </w:rPr>
        <w:t>Six countries indicated that they have an electronic assets</w:t>
      </w:r>
      <w:r w:rsidR="00DB0E88">
        <w:rPr>
          <w:lang w:val="en-US"/>
        </w:rPr>
        <w:t>’</w:t>
      </w:r>
      <w:r>
        <w:rPr>
          <w:lang w:val="en-US"/>
        </w:rPr>
        <w:t xml:space="preserve"> register, one indicated th</w:t>
      </w:r>
      <w:r w:rsidR="00DB0E88">
        <w:rPr>
          <w:lang w:val="en-US"/>
        </w:rPr>
        <w:t>at</w:t>
      </w:r>
      <w:r>
        <w:rPr>
          <w:lang w:val="en-US"/>
        </w:rPr>
        <w:t xml:space="preserve"> </w:t>
      </w:r>
      <w:r w:rsidR="00B9394A">
        <w:rPr>
          <w:lang w:val="en-US"/>
        </w:rPr>
        <w:t>the register was</w:t>
      </w:r>
      <w:r w:rsidR="00DB0E88">
        <w:rPr>
          <w:lang w:val="en-US"/>
        </w:rPr>
        <w:t xml:space="preserve"> manual</w:t>
      </w:r>
      <w:r>
        <w:rPr>
          <w:lang w:val="en-US"/>
        </w:rPr>
        <w:t xml:space="preserve"> and two indicated that they had both manual and electronic registers (nine in total). </w:t>
      </w:r>
    </w:p>
    <w:p w14:paraId="19F0499C" w14:textId="33547251" w:rsidR="00DB0E88" w:rsidRDefault="00AA0D03" w:rsidP="00DB0E88">
      <w:pPr>
        <w:spacing w:before="100" w:beforeAutospacing="1"/>
        <w:ind w:left="-709"/>
        <w:rPr>
          <w:lang w:val="en-US"/>
        </w:rPr>
      </w:pPr>
      <w:r>
        <w:rPr>
          <w:lang w:val="en-US"/>
        </w:rPr>
        <w:t>For the two countries that indicated both manual and electronic assets registers are maintained, one maintains registers both centrally and in line ministries, w</w:t>
      </w:r>
      <w:r w:rsidR="008A1AEE">
        <w:rPr>
          <w:lang w:val="en-US"/>
        </w:rPr>
        <w:t>hile the other has the register</w:t>
      </w:r>
      <w:r>
        <w:rPr>
          <w:lang w:val="en-US"/>
        </w:rPr>
        <w:t xml:space="preserve"> just in line ministries. In both cases it suggests an opportunity may exist to roll out the electronic software to all users. </w:t>
      </w:r>
    </w:p>
    <w:p w14:paraId="1C9539FA" w14:textId="75CED056" w:rsidR="004A7854" w:rsidRDefault="004A7854" w:rsidP="00C17533">
      <w:pPr>
        <w:spacing w:before="100" w:beforeAutospacing="1"/>
        <w:ind w:left="-709"/>
        <w:rPr>
          <w:lang w:val="en-US"/>
        </w:rPr>
      </w:pPr>
      <w:r>
        <w:rPr>
          <w:lang w:val="en-US"/>
        </w:rPr>
        <w:t xml:space="preserve">Those countries that indicated that they had electronic registers were further asked to indicate whether the software was off the shelf or purpose built (questions 15 and 16). </w:t>
      </w:r>
      <w:r w:rsidR="00563A6A">
        <w:rPr>
          <w:lang w:val="en-US"/>
        </w:rPr>
        <w:t xml:space="preserve">Four countries indicated that the software was off the shelf, although one of those, Russia, also indicated that it was not off the shelve in the comments column, suggesting that three countries have off the shelve and three purpose built software. </w:t>
      </w:r>
      <w:r>
        <w:rPr>
          <w:lang w:val="en-US"/>
        </w:rPr>
        <w:t>For the three countries with off the shelve software, Croatia has software called Budget Accounting Plan and Bulgaria indicated it could be any number of different packages including SAP, Conto</w:t>
      </w:r>
      <w:r w:rsidR="007830A9">
        <w:rPr>
          <w:lang w:val="en-US"/>
        </w:rPr>
        <w:t>,</w:t>
      </w:r>
      <w:r>
        <w:rPr>
          <w:lang w:val="en-US"/>
        </w:rPr>
        <w:t xml:space="preserve"> Ajur or others.</w:t>
      </w:r>
      <w:r w:rsidR="00A4189E">
        <w:rPr>
          <w:lang w:val="en-US"/>
        </w:rPr>
        <w:t xml:space="preserve"> In Bulgaria’s case this is probably because each line ministry may have acquired its own software for the purposes of assets management</w:t>
      </w:r>
      <w:r w:rsidR="00B9394A">
        <w:rPr>
          <w:lang w:val="en-US"/>
        </w:rPr>
        <w:t xml:space="preserve"> </w:t>
      </w:r>
      <w:r w:rsidR="008A1AEE">
        <w:rPr>
          <w:lang w:val="en-US"/>
        </w:rPr>
        <w:t xml:space="preserve">(and to support financial management) </w:t>
      </w:r>
      <w:r w:rsidR="00B9394A">
        <w:rPr>
          <w:lang w:val="en-US"/>
        </w:rPr>
        <w:t>as Bulgaria also indicated that asset registers are maintained in line ministries</w:t>
      </w:r>
      <w:r w:rsidR="00A4189E">
        <w:rPr>
          <w:lang w:val="en-US"/>
        </w:rPr>
        <w:t xml:space="preserve">. </w:t>
      </w:r>
      <w:r w:rsidR="008A1AEE">
        <w:rPr>
          <w:lang w:val="en-US"/>
        </w:rPr>
        <w:t xml:space="preserve">One country did not respond to the question on </w:t>
      </w:r>
      <w:r w:rsidR="00C17533">
        <w:rPr>
          <w:lang w:val="en-US"/>
        </w:rPr>
        <w:t>software</w:t>
      </w:r>
      <w:r w:rsidR="00DB0E88">
        <w:rPr>
          <w:lang w:val="en-US"/>
        </w:rPr>
        <w:t xml:space="preserve">. </w:t>
      </w:r>
      <w:r w:rsidR="00A4189E">
        <w:rPr>
          <w:lang w:val="en-US"/>
        </w:rPr>
        <w:t xml:space="preserve">  </w:t>
      </w:r>
    </w:p>
    <w:p w14:paraId="5117B8E6" w14:textId="1A1B5B65" w:rsidR="00A45BC5" w:rsidRPr="00C17533" w:rsidRDefault="00C17533" w:rsidP="00C17533">
      <w:pPr>
        <w:spacing w:before="100" w:beforeAutospacing="1"/>
        <w:ind w:left="-709"/>
        <w:rPr>
          <w:b/>
          <w:lang w:val="en-US"/>
        </w:rPr>
      </w:pPr>
      <w:r w:rsidRPr="00C17533">
        <w:rPr>
          <w:b/>
          <w:lang w:val="en-US"/>
        </w:rPr>
        <w:t>Q</w:t>
      </w:r>
      <w:r w:rsidR="00A45BC5" w:rsidRPr="00C17533">
        <w:rPr>
          <w:b/>
          <w:lang w:val="en-US"/>
        </w:rPr>
        <w:t>17. How does your country manage low value assets?</w:t>
      </w:r>
    </w:p>
    <w:p w14:paraId="73EAE4DA" w14:textId="693A9493" w:rsidR="00B4090C" w:rsidRPr="00C17533" w:rsidRDefault="00DB0E88" w:rsidP="00C17533">
      <w:pPr>
        <w:spacing w:before="100" w:beforeAutospacing="1"/>
        <w:ind w:left="-709"/>
        <w:rPr>
          <w:b/>
          <w:i/>
          <w:lang w:val="en-US"/>
        </w:rPr>
      </w:pPr>
      <w:r w:rsidRPr="00C17533">
        <w:rPr>
          <w:b/>
          <w:i/>
          <w:lang w:val="en-US"/>
        </w:rPr>
        <w:t>Figure 10 – Low Value Assets</w:t>
      </w:r>
    </w:p>
    <w:p w14:paraId="155A75E2" w14:textId="53E6518A" w:rsidR="00B4090C" w:rsidRPr="00C17533" w:rsidRDefault="00B4090C" w:rsidP="00C17533">
      <w:pPr>
        <w:spacing w:before="100" w:beforeAutospacing="1"/>
        <w:ind w:left="-709"/>
        <w:rPr>
          <w:lang w:val="en-US"/>
        </w:rPr>
      </w:pPr>
      <w:r w:rsidRPr="00C17533">
        <w:rPr>
          <w:noProof/>
          <w:lang w:val="en-US" w:eastAsia="en-US"/>
        </w:rPr>
        <w:drawing>
          <wp:inline distT="0" distB="0" distL="0" distR="0" wp14:anchorId="45D2F340" wp14:editId="52E4245B">
            <wp:extent cx="3886200" cy="1828800"/>
            <wp:effectExtent l="0" t="0" r="25400"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E4A07F" w14:textId="43E1570F" w:rsidR="00A4189E" w:rsidRDefault="003A62C4" w:rsidP="00C17533">
      <w:pPr>
        <w:spacing w:before="100" w:beforeAutospacing="1"/>
        <w:ind w:left="-709"/>
        <w:rPr>
          <w:lang w:val="en-US"/>
        </w:rPr>
      </w:pPr>
      <w:r>
        <w:rPr>
          <w:lang w:val="en-US"/>
        </w:rPr>
        <w:t>Ten responses were received. Six countries indicated that they expense these assets as they acquire them while one country indicated that it expenses them when they are put into operations</w:t>
      </w:r>
      <w:r w:rsidR="00C17533">
        <w:rPr>
          <w:lang w:val="en-US"/>
        </w:rPr>
        <w:t>. (</w:t>
      </w:r>
      <w:r w:rsidR="00A040C4">
        <w:rPr>
          <w:lang w:val="en-US"/>
        </w:rPr>
        <w:t>This</w:t>
      </w:r>
      <w:r>
        <w:rPr>
          <w:lang w:val="en-US"/>
        </w:rPr>
        <w:t xml:space="preserve"> is largely the same as expensing on acquisition, and just involves a timing difference for recognition</w:t>
      </w:r>
      <w:r w:rsidR="00C17533">
        <w:rPr>
          <w:lang w:val="en-US"/>
        </w:rPr>
        <w:t>)</w:t>
      </w:r>
      <w:r>
        <w:rPr>
          <w:lang w:val="en-US"/>
        </w:rPr>
        <w:t>. Two countries continue to manage low values assets on an historical cost basis. One country indicated that it did not manage these assets any differently from other assets. This response needs further clarification (Kazakhstan) as it may reflect a misunderst</w:t>
      </w:r>
      <w:r w:rsidR="00AF384D">
        <w:rPr>
          <w:lang w:val="en-US"/>
        </w:rPr>
        <w:t>anding</w:t>
      </w:r>
      <w:r>
        <w:rPr>
          <w:lang w:val="en-US"/>
        </w:rPr>
        <w:t xml:space="preserve"> of the original question. </w:t>
      </w:r>
    </w:p>
    <w:p w14:paraId="558B3231" w14:textId="47093EAC" w:rsidR="00AF384D" w:rsidRPr="00C17533" w:rsidRDefault="00A4189E" w:rsidP="00C17533">
      <w:pPr>
        <w:spacing w:before="100" w:beforeAutospacing="1"/>
        <w:ind w:left="-709"/>
        <w:rPr>
          <w:i/>
          <w:lang w:val="en-US"/>
        </w:rPr>
      </w:pPr>
      <w:r w:rsidRPr="00C17533">
        <w:rPr>
          <w:i/>
          <w:lang w:val="en-US"/>
        </w:rPr>
        <w:lastRenderedPageBreak/>
        <w:t xml:space="preserve">Again this suggests that enough countries have firm policies on what is a low value asset, which </w:t>
      </w:r>
      <w:r w:rsidR="00DB0E88" w:rsidRPr="00C17533">
        <w:rPr>
          <w:i/>
          <w:lang w:val="en-US"/>
        </w:rPr>
        <w:t xml:space="preserve">also </w:t>
      </w:r>
      <w:r w:rsidRPr="00C17533">
        <w:rPr>
          <w:i/>
          <w:lang w:val="en-US"/>
        </w:rPr>
        <w:t xml:space="preserve">implies </w:t>
      </w:r>
      <w:r w:rsidR="00DB0E88" w:rsidRPr="00C17533">
        <w:rPr>
          <w:i/>
          <w:lang w:val="en-US"/>
        </w:rPr>
        <w:t xml:space="preserve">that they have taken </w:t>
      </w:r>
      <w:r w:rsidRPr="00C17533">
        <w:rPr>
          <w:i/>
          <w:lang w:val="en-US"/>
        </w:rPr>
        <w:t xml:space="preserve">a decision regarding thresholds for both new assets and capital repairs. It would be useful to obtain examples of these policies and procedures for inclusion in a generic policy manual. </w:t>
      </w:r>
    </w:p>
    <w:p w14:paraId="4B276978" w14:textId="48B62B0B" w:rsidR="00AF384D" w:rsidRPr="00C17533" w:rsidRDefault="00AF384D" w:rsidP="00C17533">
      <w:pPr>
        <w:spacing w:before="100" w:beforeAutospacing="1"/>
        <w:ind w:left="-709"/>
        <w:rPr>
          <w:b/>
          <w:sz w:val="28"/>
          <w:szCs w:val="28"/>
          <w:lang w:val="en-US"/>
        </w:rPr>
      </w:pPr>
      <w:r w:rsidRPr="00C17533">
        <w:rPr>
          <w:b/>
          <w:sz w:val="28"/>
          <w:szCs w:val="28"/>
          <w:lang w:val="en-US"/>
        </w:rPr>
        <w:t>Revaluation of Assets</w:t>
      </w:r>
    </w:p>
    <w:p w14:paraId="3884C951" w14:textId="0F9E27AE" w:rsidR="00A4189E" w:rsidRPr="00C17533" w:rsidRDefault="00A4189E" w:rsidP="00C17533">
      <w:pPr>
        <w:spacing w:before="100" w:beforeAutospacing="1"/>
        <w:ind w:left="-709"/>
        <w:rPr>
          <w:i/>
          <w:lang w:val="en-US"/>
        </w:rPr>
      </w:pPr>
      <w:r w:rsidRPr="00C17533">
        <w:rPr>
          <w:i/>
          <w:lang w:val="en-US"/>
        </w:rPr>
        <w:t>This set of questions (18-22) was included to determine whether countries largely maintain</w:t>
      </w:r>
      <w:r w:rsidR="00DB0E88" w:rsidRPr="00C17533">
        <w:rPr>
          <w:i/>
          <w:lang w:val="en-US"/>
        </w:rPr>
        <w:t xml:space="preserve"> assets at historical cost or</w:t>
      </w:r>
      <w:r w:rsidRPr="00C17533">
        <w:rPr>
          <w:i/>
          <w:lang w:val="en-US"/>
        </w:rPr>
        <w:t xml:space="preserve"> undertake regular reviews to revalue the carrying amounts of their non-financial assets.  </w:t>
      </w:r>
    </w:p>
    <w:p w14:paraId="135F8B34" w14:textId="4164FA27" w:rsidR="00787C0E" w:rsidRPr="00C17533" w:rsidRDefault="00C17533" w:rsidP="00C17533">
      <w:pPr>
        <w:spacing w:before="100" w:beforeAutospacing="1"/>
        <w:ind w:left="-709"/>
        <w:rPr>
          <w:b/>
          <w:lang w:val="en-US"/>
        </w:rPr>
      </w:pPr>
      <w:r w:rsidRPr="00C17533">
        <w:rPr>
          <w:b/>
          <w:lang w:val="en-US"/>
        </w:rPr>
        <w:t>Q</w:t>
      </w:r>
      <w:r w:rsidR="00A83693" w:rsidRPr="00C17533">
        <w:rPr>
          <w:b/>
          <w:lang w:val="en-US"/>
        </w:rPr>
        <w:t>1</w:t>
      </w:r>
      <w:r w:rsidR="00747FFA" w:rsidRPr="00C17533">
        <w:rPr>
          <w:b/>
          <w:lang w:val="en-US"/>
        </w:rPr>
        <w:t>8</w:t>
      </w:r>
      <w:r w:rsidR="00787C0E" w:rsidRPr="00C17533">
        <w:rPr>
          <w:b/>
          <w:lang w:val="en-US"/>
        </w:rPr>
        <w:t xml:space="preserve">. </w:t>
      </w:r>
      <w:r w:rsidR="00747FFA" w:rsidRPr="00C17533">
        <w:rPr>
          <w:b/>
          <w:lang w:val="en-US"/>
        </w:rPr>
        <w:t>Do you undertake regular revaluations of assets?</w:t>
      </w:r>
      <w:r w:rsidR="004035E8" w:rsidRPr="00C17533">
        <w:rPr>
          <w:b/>
          <w:lang w:val="en-US"/>
        </w:rPr>
        <w:t xml:space="preserve"> </w:t>
      </w:r>
    </w:p>
    <w:p w14:paraId="093E8BF7" w14:textId="77777777" w:rsidR="00DB0E88" w:rsidRPr="00DB0E88" w:rsidRDefault="00DB0E88" w:rsidP="00C17533">
      <w:pPr>
        <w:spacing w:before="100" w:beforeAutospacing="1"/>
        <w:ind w:left="-709"/>
        <w:rPr>
          <w:lang w:val="en-US"/>
        </w:rPr>
      </w:pPr>
    </w:p>
    <w:p w14:paraId="3F8C3F46" w14:textId="59DD8FFF" w:rsidR="00DB0E88" w:rsidRPr="00C17533" w:rsidRDefault="00DB0E88" w:rsidP="00C17533">
      <w:pPr>
        <w:spacing w:before="100" w:beforeAutospacing="1"/>
        <w:ind w:left="-709"/>
        <w:rPr>
          <w:b/>
          <w:i/>
          <w:lang w:val="en-US"/>
        </w:rPr>
      </w:pPr>
      <w:r w:rsidRPr="00C17533">
        <w:rPr>
          <w:b/>
          <w:i/>
          <w:lang w:val="en-US"/>
        </w:rPr>
        <w:t>Figure 11 – Revaluation of Assets</w:t>
      </w:r>
    </w:p>
    <w:p w14:paraId="7D3105CA" w14:textId="7E5EE338" w:rsidR="00AF384D" w:rsidRPr="00C17533" w:rsidRDefault="00AA0D03" w:rsidP="00C17533">
      <w:pPr>
        <w:spacing w:before="100" w:beforeAutospacing="1"/>
        <w:ind w:left="-709"/>
        <w:rPr>
          <w:lang w:val="en-US"/>
        </w:rPr>
      </w:pPr>
      <w:r w:rsidRPr="00C17533">
        <w:rPr>
          <w:noProof/>
          <w:lang w:val="en-US" w:eastAsia="en-US"/>
        </w:rPr>
        <w:drawing>
          <wp:inline distT="0" distB="0" distL="0" distR="0" wp14:anchorId="193FC5AB" wp14:editId="6FBC79D5">
            <wp:extent cx="3888740" cy="1988185"/>
            <wp:effectExtent l="0" t="0" r="22860" b="1841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B81FCD" w14:textId="77777777" w:rsidR="00AF384D" w:rsidRPr="00C17533" w:rsidRDefault="00AF384D" w:rsidP="00C17533">
      <w:pPr>
        <w:spacing w:before="100" w:beforeAutospacing="1"/>
        <w:ind w:left="-709"/>
        <w:rPr>
          <w:lang w:val="en-US"/>
        </w:rPr>
      </w:pPr>
    </w:p>
    <w:p w14:paraId="45413FDA" w14:textId="23E9FDB5" w:rsidR="000A5411" w:rsidRPr="00A4189E" w:rsidRDefault="00AF384D" w:rsidP="00C17533">
      <w:pPr>
        <w:spacing w:before="100" w:beforeAutospacing="1"/>
        <w:ind w:left="-709"/>
        <w:rPr>
          <w:lang w:val="en-US"/>
        </w:rPr>
      </w:pPr>
      <w:r w:rsidRPr="00A4189E">
        <w:rPr>
          <w:lang w:val="en-US"/>
        </w:rPr>
        <w:t xml:space="preserve">Of the </w:t>
      </w:r>
      <w:r w:rsidR="00AA0D03">
        <w:rPr>
          <w:lang w:val="en-US"/>
        </w:rPr>
        <w:t>eleven</w:t>
      </w:r>
      <w:r w:rsidRPr="00A4189E">
        <w:rPr>
          <w:lang w:val="en-US"/>
        </w:rPr>
        <w:t xml:space="preserve"> countries </w:t>
      </w:r>
      <w:r w:rsidR="00AA0D03">
        <w:rPr>
          <w:lang w:val="en-US"/>
        </w:rPr>
        <w:t xml:space="preserve">that responded </w:t>
      </w:r>
      <w:r w:rsidRPr="00A4189E">
        <w:rPr>
          <w:lang w:val="en-US"/>
        </w:rPr>
        <w:t>s</w:t>
      </w:r>
      <w:r w:rsidR="00AA0D03">
        <w:rPr>
          <w:lang w:val="en-US"/>
        </w:rPr>
        <w:t>even</w:t>
      </w:r>
      <w:r w:rsidR="000A5411" w:rsidRPr="00A4189E">
        <w:rPr>
          <w:lang w:val="en-US"/>
        </w:rPr>
        <w:t xml:space="preserve"> </w:t>
      </w:r>
      <w:r w:rsidRPr="00A4189E">
        <w:rPr>
          <w:lang w:val="en-US"/>
        </w:rPr>
        <w:t xml:space="preserve">indicated that they do undertake regular revaluations and </w:t>
      </w:r>
      <w:r w:rsidR="00AA0D03">
        <w:rPr>
          <w:lang w:val="en-US"/>
        </w:rPr>
        <w:t>four</w:t>
      </w:r>
      <w:r w:rsidR="000A5411" w:rsidRPr="00A4189E">
        <w:rPr>
          <w:lang w:val="en-US"/>
        </w:rPr>
        <w:t xml:space="preserve"> </w:t>
      </w:r>
      <w:r w:rsidRPr="00A4189E">
        <w:rPr>
          <w:lang w:val="en-US"/>
        </w:rPr>
        <w:t xml:space="preserve">do not. </w:t>
      </w:r>
    </w:p>
    <w:p w14:paraId="53B89D69" w14:textId="51AA7302" w:rsidR="00AF384D" w:rsidRPr="00A4189E" w:rsidRDefault="000A5411" w:rsidP="00C17533">
      <w:pPr>
        <w:spacing w:before="100" w:beforeAutospacing="1"/>
        <w:ind w:left="-709"/>
        <w:rPr>
          <w:lang w:val="en-US"/>
        </w:rPr>
      </w:pPr>
      <w:r w:rsidRPr="00A4189E">
        <w:rPr>
          <w:lang w:val="en-US"/>
        </w:rPr>
        <w:t>Of the s</w:t>
      </w:r>
      <w:r w:rsidR="00AA0D03">
        <w:rPr>
          <w:lang w:val="en-US"/>
        </w:rPr>
        <w:t>even</w:t>
      </w:r>
      <w:r w:rsidRPr="00A4189E">
        <w:rPr>
          <w:lang w:val="en-US"/>
        </w:rPr>
        <w:t xml:space="preserve"> countries that undertake regular revaluations, only</w:t>
      </w:r>
      <w:r w:rsidR="00AF384D" w:rsidRPr="00A4189E">
        <w:rPr>
          <w:lang w:val="en-US"/>
        </w:rPr>
        <w:t xml:space="preserve"> one country</w:t>
      </w:r>
      <w:r w:rsidRPr="00A4189E">
        <w:rPr>
          <w:lang w:val="en-US"/>
        </w:rPr>
        <w:t>, Bulgaria</w:t>
      </w:r>
      <w:r w:rsidR="00AF384D" w:rsidRPr="00A4189E">
        <w:rPr>
          <w:lang w:val="en-US"/>
        </w:rPr>
        <w:t xml:space="preserve"> indicated it rev</w:t>
      </w:r>
      <w:r w:rsidRPr="00A4189E">
        <w:rPr>
          <w:lang w:val="en-US"/>
        </w:rPr>
        <w:t>alues assets in accordance with</w:t>
      </w:r>
      <w:r w:rsidR="00AF384D" w:rsidRPr="00A4189E">
        <w:rPr>
          <w:lang w:val="en-US"/>
        </w:rPr>
        <w:t xml:space="preserve"> IPSAS, which </w:t>
      </w:r>
      <w:r w:rsidRPr="00A4189E">
        <w:rPr>
          <w:lang w:val="en-US"/>
        </w:rPr>
        <w:t>values assets at fair value or historical cost. In the case of the later method, they tes</w:t>
      </w:r>
      <w:r w:rsidR="00AF384D" w:rsidRPr="00A4189E">
        <w:rPr>
          <w:lang w:val="en-US"/>
        </w:rPr>
        <w:t>t</w:t>
      </w:r>
      <w:r w:rsidRPr="00A4189E">
        <w:rPr>
          <w:lang w:val="en-US"/>
        </w:rPr>
        <w:t xml:space="preserve"> these assets for impairment every two years. </w:t>
      </w:r>
      <w:r w:rsidR="00D16A29">
        <w:rPr>
          <w:lang w:val="en-US"/>
        </w:rPr>
        <w:t>Of the</w:t>
      </w:r>
      <w:r w:rsidRPr="00A4189E">
        <w:rPr>
          <w:lang w:val="en-US"/>
        </w:rPr>
        <w:t xml:space="preserve"> </w:t>
      </w:r>
      <w:r w:rsidR="00AA0D03">
        <w:rPr>
          <w:lang w:val="en-US"/>
        </w:rPr>
        <w:t>six</w:t>
      </w:r>
      <w:r w:rsidRPr="00A4189E">
        <w:rPr>
          <w:lang w:val="en-US"/>
        </w:rPr>
        <w:t xml:space="preserve"> remaining countries</w:t>
      </w:r>
      <w:r w:rsidR="00D16A29">
        <w:rPr>
          <w:lang w:val="en-US"/>
        </w:rPr>
        <w:t>, four indicated</w:t>
      </w:r>
      <w:r w:rsidRPr="00A4189E">
        <w:rPr>
          <w:lang w:val="en-US"/>
        </w:rPr>
        <w:t xml:space="preserve"> </w:t>
      </w:r>
      <w:r w:rsidR="00D16A29">
        <w:rPr>
          <w:lang w:val="en-US"/>
        </w:rPr>
        <w:t xml:space="preserve">that they </w:t>
      </w:r>
      <w:r w:rsidRPr="00A4189E">
        <w:rPr>
          <w:lang w:val="en-US"/>
        </w:rPr>
        <w:t xml:space="preserve">use an industrial index </w:t>
      </w:r>
      <w:r w:rsidR="00A4189E" w:rsidRPr="00A4189E">
        <w:rPr>
          <w:lang w:val="en-US"/>
        </w:rPr>
        <w:t>set</w:t>
      </w:r>
      <w:r w:rsidRPr="00A4189E">
        <w:rPr>
          <w:lang w:val="en-US"/>
        </w:rPr>
        <w:t xml:space="preserve"> by government to determine the new values</w:t>
      </w:r>
      <w:r w:rsidR="00D16A29">
        <w:rPr>
          <w:lang w:val="en-US"/>
        </w:rPr>
        <w:t xml:space="preserve"> (two of the six countries did not respond</w:t>
      </w:r>
      <w:r w:rsidR="00C17533">
        <w:rPr>
          <w:lang w:val="en-US"/>
        </w:rPr>
        <w:t>)</w:t>
      </w:r>
      <w:r w:rsidRPr="00A4189E">
        <w:rPr>
          <w:lang w:val="en-US"/>
        </w:rPr>
        <w:t>. This is applied in two ways. The indexed revaluation is applied at the end of the year for all assets o</w:t>
      </w:r>
      <w:r w:rsidR="00A4189E" w:rsidRPr="00A4189E">
        <w:rPr>
          <w:lang w:val="en-US"/>
        </w:rPr>
        <w:t>n hand or during the year when</w:t>
      </w:r>
      <w:r w:rsidRPr="00A4189E">
        <w:rPr>
          <w:lang w:val="en-US"/>
        </w:rPr>
        <w:t xml:space="preserve"> specific assets </w:t>
      </w:r>
      <w:r w:rsidR="00A4189E" w:rsidRPr="00A4189E">
        <w:rPr>
          <w:lang w:val="en-US"/>
        </w:rPr>
        <w:t>are</w:t>
      </w:r>
      <w:r w:rsidRPr="00A4189E">
        <w:rPr>
          <w:lang w:val="en-US"/>
        </w:rPr>
        <w:t xml:space="preserve"> retired, sold or otherwise disposed of. </w:t>
      </w:r>
    </w:p>
    <w:p w14:paraId="7E51BB98" w14:textId="052658DC" w:rsidR="000A5411" w:rsidRPr="00C17533" w:rsidRDefault="000A5411" w:rsidP="00C17533">
      <w:pPr>
        <w:spacing w:before="100" w:beforeAutospacing="1"/>
        <w:ind w:left="-709"/>
        <w:rPr>
          <w:i/>
          <w:lang w:val="en-US"/>
        </w:rPr>
      </w:pPr>
      <w:r w:rsidRPr="00C17533">
        <w:rPr>
          <w:i/>
          <w:lang w:val="en-US"/>
        </w:rPr>
        <w:t>It appears that revaluation continues to be an area where few countries comply with the requirements under IPSAS. This therefore would be an important</w:t>
      </w:r>
      <w:r w:rsidR="00A4189E" w:rsidRPr="00C17533">
        <w:rPr>
          <w:i/>
          <w:lang w:val="en-US"/>
        </w:rPr>
        <w:t xml:space="preserve"> area for further discussion</w:t>
      </w:r>
      <w:r w:rsidRPr="00C17533">
        <w:rPr>
          <w:i/>
          <w:lang w:val="en-US"/>
        </w:rPr>
        <w:t xml:space="preserve"> and perhaps a case study based on the approach take</w:t>
      </w:r>
      <w:r w:rsidR="00A4189E" w:rsidRPr="00C17533">
        <w:rPr>
          <w:i/>
          <w:lang w:val="en-US"/>
        </w:rPr>
        <w:t>n in Bulgaria. The presentation</w:t>
      </w:r>
      <w:r w:rsidRPr="00C17533">
        <w:rPr>
          <w:i/>
          <w:lang w:val="en-US"/>
        </w:rPr>
        <w:t xml:space="preserve"> by the facilitator on the approach taken in Australia is also relevant in this regard.   </w:t>
      </w:r>
    </w:p>
    <w:p w14:paraId="662B1F64" w14:textId="2B2BB42F" w:rsidR="00BC0139" w:rsidRPr="00C17533" w:rsidRDefault="004A34F5" w:rsidP="00C17533">
      <w:pPr>
        <w:spacing w:before="100" w:beforeAutospacing="1"/>
        <w:ind w:left="-709"/>
        <w:rPr>
          <w:b/>
          <w:lang w:val="en-US"/>
        </w:rPr>
      </w:pPr>
      <w:r w:rsidRPr="00C17533">
        <w:rPr>
          <w:b/>
          <w:lang w:val="en-US"/>
        </w:rPr>
        <w:t>Q</w:t>
      </w:r>
      <w:r w:rsidR="004035E8" w:rsidRPr="00C17533">
        <w:rPr>
          <w:b/>
          <w:lang w:val="en-US"/>
        </w:rPr>
        <w:t>20. What is the frequency of revaluations?</w:t>
      </w:r>
    </w:p>
    <w:p w14:paraId="44F75530" w14:textId="23FEBB7D" w:rsidR="00BC0139" w:rsidRPr="004A34F5" w:rsidRDefault="00BC0139" w:rsidP="00C17533">
      <w:pPr>
        <w:spacing w:before="100" w:beforeAutospacing="1"/>
        <w:ind w:left="-709"/>
        <w:rPr>
          <w:lang w:val="en-US"/>
        </w:rPr>
      </w:pPr>
      <w:r w:rsidRPr="004A34F5">
        <w:rPr>
          <w:lang w:val="en-US"/>
        </w:rPr>
        <w:t xml:space="preserve">Only five countries responded to this question regarding the frequency of revaluations. Three countries indicated that this is done annually. One country does it every 5-10 years, while the final responding country indicated that revaluations only take place when the asset is realised, which is interpreted to mean, sold or otherwise disposed of. </w:t>
      </w:r>
    </w:p>
    <w:p w14:paraId="1F601AF8" w14:textId="77777777" w:rsidR="00BC0139" w:rsidRPr="00C17533" w:rsidRDefault="00BC0139" w:rsidP="00C17533">
      <w:pPr>
        <w:spacing w:before="100" w:beforeAutospacing="1"/>
        <w:ind w:left="-709"/>
        <w:rPr>
          <w:lang w:val="en-US"/>
        </w:rPr>
      </w:pPr>
    </w:p>
    <w:p w14:paraId="7AB4AE7C" w14:textId="3D91F5F5" w:rsidR="000E128A" w:rsidRPr="00C17533" w:rsidRDefault="004A34F5" w:rsidP="00C17533">
      <w:pPr>
        <w:spacing w:before="100" w:beforeAutospacing="1"/>
        <w:ind w:left="-709"/>
        <w:rPr>
          <w:b/>
          <w:lang w:val="en-US"/>
        </w:rPr>
      </w:pPr>
      <w:r w:rsidRPr="00C17533">
        <w:rPr>
          <w:b/>
          <w:lang w:val="en-US"/>
        </w:rPr>
        <w:lastRenderedPageBreak/>
        <w:t>Q</w:t>
      </w:r>
      <w:r w:rsidR="000E128A" w:rsidRPr="00C17533">
        <w:rPr>
          <w:b/>
          <w:lang w:val="en-US"/>
        </w:rPr>
        <w:t>21. Are specific classes of assets revalued?</w:t>
      </w:r>
    </w:p>
    <w:p w14:paraId="048F3C65" w14:textId="5770CD78" w:rsidR="00BC0139" w:rsidRPr="00C17533" w:rsidRDefault="004A34F5" w:rsidP="00C17533">
      <w:pPr>
        <w:spacing w:before="100" w:beforeAutospacing="1"/>
        <w:ind w:left="-709"/>
        <w:rPr>
          <w:b/>
          <w:lang w:val="en-US"/>
        </w:rPr>
      </w:pPr>
      <w:r w:rsidRPr="00C17533">
        <w:rPr>
          <w:b/>
          <w:lang w:val="en-US"/>
        </w:rPr>
        <w:t>Q</w:t>
      </w:r>
      <w:r w:rsidR="00357D6A" w:rsidRPr="00C17533">
        <w:rPr>
          <w:b/>
          <w:lang w:val="en-US"/>
        </w:rPr>
        <w:t>22. Please name the classes that are re</w:t>
      </w:r>
      <w:r w:rsidR="00BC0139" w:rsidRPr="00C17533">
        <w:rPr>
          <w:b/>
          <w:lang w:val="en-US"/>
        </w:rPr>
        <w:t>valued.</w:t>
      </w:r>
    </w:p>
    <w:p w14:paraId="7953FFA2" w14:textId="1D874A04" w:rsidR="001660D5" w:rsidRDefault="00BC0139" w:rsidP="00C17533">
      <w:pPr>
        <w:spacing w:before="100" w:beforeAutospacing="1"/>
        <w:ind w:left="-709"/>
        <w:rPr>
          <w:lang w:val="en-US"/>
        </w:rPr>
      </w:pPr>
      <w:r w:rsidRPr="001660D5">
        <w:rPr>
          <w:lang w:val="en-US"/>
        </w:rPr>
        <w:t xml:space="preserve">Three countries indicated that specific classes of assets are revalued while two indicated that </w:t>
      </w:r>
      <w:r w:rsidR="001660D5" w:rsidRPr="001660D5">
        <w:rPr>
          <w:lang w:val="en-US"/>
        </w:rPr>
        <w:t xml:space="preserve">revaluation does not apply to specific classes of assets. None of the countries that responded yes provided a clear explanation of which classes </w:t>
      </w:r>
      <w:r w:rsidR="006A0A91">
        <w:rPr>
          <w:lang w:val="en-US"/>
        </w:rPr>
        <w:t xml:space="preserve">of assets the </w:t>
      </w:r>
      <w:r w:rsidR="001660D5" w:rsidRPr="001660D5">
        <w:rPr>
          <w:lang w:val="en-US"/>
        </w:rPr>
        <w:t xml:space="preserve">revaluation </w:t>
      </w:r>
      <w:r w:rsidR="006A0A91">
        <w:rPr>
          <w:lang w:val="en-US"/>
        </w:rPr>
        <w:t>process encompasses</w:t>
      </w:r>
      <w:r w:rsidR="001660D5" w:rsidRPr="001660D5">
        <w:rPr>
          <w:lang w:val="en-US"/>
        </w:rPr>
        <w:t xml:space="preserve">, although one indicated that it was only for long term tangible and intangible assets. </w:t>
      </w:r>
    </w:p>
    <w:p w14:paraId="0232BB30" w14:textId="6019AA49" w:rsidR="001660D5" w:rsidRPr="00C17533" w:rsidRDefault="001660D5" w:rsidP="00C17533">
      <w:pPr>
        <w:spacing w:before="100" w:beforeAutospacing="1"/>
        <w:ind w:left="-709"/>
        <w:rPr>
          <w:lang w:val="en-US"/>
        </w:rPr>
      </w:pPr>
      <w:r w:rsidRPr="00C17533">
        <w:rPr>
          <w:lang w:val="en-US"/>
        </w:rPr>
        <w:t xml:space="preserve">It </w:t>
      </w:r>
      <w:r w:rsidR="006A0A91" w:rsidRPr="00C17533">
        <w:rPr>
          <w:lang w:val="en-US"/>
        </w:rPr>
        <w:t>appears</w:t>
      </w:r>
      <w:r w:rsidRPr="00C17533">
        <w:rPr>
          <w:lang w:val="en-US"/>
        </w:rPr>
        <w:t xml:space="preserve"> that this section of the questionnaire was not clearly understood and requires further explanation</w:t>
      </w:r>
      <w:r w:rsidR="006A0A91" w:rsidRPr="00C17533">
        <w:rPr>
          <w:lang w:val="en-US"/>
        </w:rPr>
        <w:t xml:space="preserve"> and discussion</w:t>
      </w:r>
      <w:r w:rsidR="00C17533">
        <w:rPr>
          <w:lang w:val="en-US"/>
        </w:rPr>
        <w:t>.</w:t>
      </w:r>
    </w:p>
    <w:p w14:paraId="1BC4F01C" w14:textId="3921030D" w:rsidR="00BC0139" w:rsidRPr="00C17533" w:rsidRDefault="004A34F5" w:rsidP="00C17533">
      <w:pPr>
        <w:spacing w:before="100" w:beforeAutospacing="1"/>
        <w:ind w:left="-709"/>
        <w:rPr>
          <w:b/>
          <w:lang w:val="en-US"/>
        </w:rPr>
      </w:pPr>
      <w:r w:rsidRPr="00C17533">
        <w:rPr>
          <w:b/>
          <w:lang w:val="en-US"/>
        </w:rPr>
        <w:t>Q</w:t>
      </w:r>
      <w:r w:rsidR="001660D5" w:rsidRPr="00C17533">
        <w:rPr>
          <w:b/>
          <w:lang w:val="en-US"/>
        </w:rPr>
        <w:t>23. Please list and describe any particular issues or problems with non-financial asset management in your country.</w:t>
      </w:r>
    </w:p>
    <w:p w14:paraId="54B7017D" w14:textId="427ECA29" w:rsidR="00C11B97" w:rsidRDefault="001660D5" w:rsidP="00C17533">
      <w:pPr>
        <w:spacing w:before="100" w:beforeAutospacing="1"/>
        <w:ind w:left="-709"/>
        <w:rPr>
          <w:lang w:val="en-US"/>
        </w:rPr>
      </w:pPr>
      <w:r w:rsidRPr="00C17533">
        <w:rPr>
          <w:lang w:val="en-US"/>
        </w:rPr>
        <w:t xml:space="preserve">The final question was an open one inviting countries to identify specific issues with the management of non-financial assets.  </w:t>
      </w:r>
      <w:r w:rsidR="006A0A91" w:rsidRPr="00C17533">
        <w:rPr>
          <w:lang w:val="en-US"/>
        </w:rPr>
        <w:t xml:space="preserve">A range of responses were received and these have been grouped according to their main topic or focus below: </w:t>
      </w:r>
    </w:p>
    <w:p w14:paraId="24EB4EE5" w14:textId="151E68D4" w:rsidR="006A0A91" w:rsidRPr="00C17533" w:rsidRDefault="006A0A91" w:rsidP="00C17533">
      <w:pPr>
        <w:spacing w:before="100" w:beforeAutospacing="1"/>
        <w:ind w:left="-709"/>
        <w:rPr>
          <w:b/>
          <w:lang w:val="en-US"/>
        </w:rPr>
      </w:pPr>
      <w:r w:rsidRPr="00C17533">
        <w:rPr>
          <w:b/>
          <w:lang w:val="en-US"/>
        </w:rPr>
        <w:t>Valuation and Revaluation</w:t>
      </w:r>
    </w:p>
    <w:p w14:paraId="46FD430D" w14:textId="5CE4907B" w:rsidR="00C11B97" w:rsidRPr="00C17533" w:rsidRDefault="00C11B97" w:rsidP="00C17533">
      <w:pPr>
        <w:pStyle w:val="ListParagraph"/>
        <w:numPr>
          <w:ilvl w:val="0"/>
          <w:numId w:val="13"/>
        </w:numPr>
        <w:spacing w:before="100" w:beforeAutospacing="1"/>
        <w:rPr>
          <w:lang w:val="en-US"/>
        </w:rPr>
      </w:pPr>
      <w:r w:rsidRPr="00C17533">
        <w:rPr>
          <w:lang w:val="en-US"/>
        </w:rPr>
        <w:t>Non-financial assets are not valued at their real cost;</w:t>
      </w:r>
    </w:p>
    <w:p w14:paraId="58477DA2" w14:textId="77777777" w:rsidR="006A0A91" w:rsidRPr="00C17533" w:rsidRDefault="006A0A91" w:rsidP="00C17533">
      <w:pPr>
        <w:pStyle w:val="ListParagraph"/>
        <w:numPr>
          <w:ilvl w:val="0"/>
          <w:numId w:val="13"/>
        </w:numPr>
        <w:spacing w:before="100" w:beforeAutospacing="1"/>
        <w:rPr>
          <w:lang w:val="en-US"/>
        </w:rPr>
      </w:pPr>
      <w:r w:rsidRPr="00C17533">
        <w:rPr>
          <w:lang w:val="en-US"/>
        </w:rPr>
        <w:t>In many cases, the state property transmitted to a public sector entity does not specify asset value, which leads to allocation of additional resources from the budget for valuation purposes;</w:t>
      </w:r>
    </w:p>
    <w:p w14:paraId="35611063" w14:textId="77777777" w:rsidR="006A0A91" w:rsidRPr="00C17533" w:rsidRDefault="006A0A91" w:rsidP="00C17533">
      <w:pPr>
        <w:pStyle w:val="ListParagraph"/>
        <w:numPr>
          <w:ilvl w:val="0"/>
          <w:numId w:val="13"/>
        </w:numPr>
        <w:spacing w:before="100" w:beforeAutospacing="1"/>
        <w:rPr>
          <w:lang w:val="en-US"/>
        </w:rPr>
      </w:pPr>
      <w:r w:rsidRPr="00C17533">
        <w:rPr>
          <w:lang w:val="en-US"/>
        </w:rPr>
        <w:t>Can two asset valuation methods be used at the same time?  Identification of groups where revaluation should be applied;</w:t>
      </w:r>
    </w:p>
    <w:p w14:paraId="61DCE2B1" w14:textId="77777777" w:rsidR="006A0A91" w:rsidRPr="00C17533" w:rsidRDefault="006A0A91" w:rsidP="00C17533">
      <w:pPr>
        <w:pStyle w:val="ListParagraph"/>
        <w:numPr>
          <w:ilvl w:val="0"/>
          <w:numId w:val="13"/>
        </w:numPr>
        <w:spacing w:before="100" w:beforeAutospacing="1"/>
        <w:rPr>
          <w:lang w:val="en-US"/>
        </w:rPr>
      </w:pPr>
      <w:r w:rsidRPr="00C17533">
        <w:rPr>
          <w:lang w:val="en-US"/>
        </w:rPr>
        <w:t>How a public sector entity can determine the economic benefit of an asset? How to evaluate and determine its value (e.g. intangible asset web page)?</w:t>
      </w:r>
    </w:p>
    <w:p w14:paraId="07DD312C" w14:textId="77777777" w:rsidR="006A0A91" w:rsidRPr="00C17533" w:rsidRDefault="006A0A91" w:rsidP="00C17533">
      <w:pPr>
        <w:pStyle w:val="ListParagraph"/>
        <w:numPr>
          <w:ilvl w:val="0"/>
          <w:numId w:val="13"/>
        </w:numPr>
        <w:spacing w:before="100" w:beforeAutospacing="1"/>
        <w:rPr>
          <w:lang w:val="en-US"/>
        </w:rPr>
      </w:pPr>
      <w:r w:rsidRPr="00C17533">
        <w:rPr>
          <w:lang w:val="en-US"/>
        </w:rPr>
        <w:t>Methods of revaluation of long-term assets;</w:t>
      </w:r>
    </w:p>
    <w:p w14:paraId="4BB40966" w14:textId="350BBB80" w:rsidR="006A0A91" w:rsidRPr="00C17533" w:rsidRDefault="006A0A91" w:rsidP="00C17533">
      <w:pPr>
        <w:pStyle w:val="ListParagraph"/>
        <w:numPr>
          <w:ilvl w:val="0"/>
          <w:numId w:val="13"/>
        </w:numPr>
        <w:spacing w:before="100" w:beforeAutospacing="1"/>
        <w:rPr>
          <w:lang w:val="en-US"/>
        </w:rPr>
      </w:pPr>
      <w:r w:rsidRPr="00C17533">
        <w:rPr>
          <w:lang w:val="en-US"/>
        </w:rPr>
        <w:t>Provision of a rationale for profits and critical budgetary expenses for revaluation (Kazakhstan)</w:t>
      </w:r>
    </w:p>
    <w:p w14:paraId="109EF910" w14:textId="2C2CF5D7" w:rsidR="006A0A91" w:rsidRPr="00C17533" w:rsidRDefault="006A0A91" w:rsidP="00C17533">
      <w:pPr>
        <w:pStyle w:val="ListParagraph"/>
        <w:numPr>
          <w:ilvl w:val="0"/>
          <w:numId w:val="13"/>
        </w:numPr>
        <w:spacing w:before="100" w:beforeAutospacing="1"/>
        <w:rPr>
          <w:lang w:val="en-US"/>
        </w:rPr>
      </w:pPr>
      <w:r w:rsidRPr="00C17533">
        <w:rPr>
          <w:lang w:val="en-US"/>
        </w:rPr>
        <w:t>No revaluation of assets during their life-cycle;</w:t>
      </w:r>
    </w:p>
    <w:p w14:paraId="60D088F5" w14:textId="6BCDE7C0" w:rsidR="006A0A91" w:rsidRPr="00C17533" w:rsidRDefault="006A0A91" w:rsidP="00C17533">
      <w:pPr>
        <w:pStyle w:val="ListParagraph"/>
        <w:numPr>
          <w:ilvl w:val="0"/>
          <w:numId w:val="13"/>
        </w:numPr>
        <w:spacing w:before="100" w:beforeAutospacing="1"/>
        <w:rPr>
          <w:lang w:val="en-US"/>
        </w:rPr>
      </w:pPr>
      <w:r w:rsidRPr="00C17533">
        <w:rPr>
          <w:lang w:val="en-US"/>
        </w:rPr>
        <w:t>How do you value intangible assets?</w:t>
      </w:r>
    </w:p>
    <w:p w14:paraId="3B22FAB7" w14:textId="5540B034" w:rsidR="006A0A91" w:rsidRPr="00C17533" w:rsidRDefault="006A0A91" w:rsidP="00C17533">
      <w:pPr>
        <w:spacing w:before="100" w:beforeAutospacing="1"/>
        <w:ind w:left="-709"/>
        <w:rPr>
          <w:b/>
          <w:lang w:val="en-US"/>
        </w:rPr>
      </w:pPr>
      <w:r w:rsidRPr="00C17533">
        <w:rPr>
          <w:b/>
          <w:lang w:val="en-US"/>
        </w:rPr>
        <w:t>Control and Reporting</w:t>
      </w:r>
    </w:p>
    <w:p w14:paraId="7D021792" w14:textId="26218E9F" w:rsidR="00C11B97" w:rsidRPr="00C17533" w:rsidRDefault="00C11B97" w:rsidP="00C17533">
      <w:pPr>
        <w:pStyle w:val="ListParagraph"/>
        <w:numPr>
          <w:ilvl w:val="0"/>
          <w:numId w:val="14"/>
        </w:numPr>
        <w:spacing w:before="100" w:beforeAutospacing="1"/>
        <w:rPr>
          <w:lang w:val="en-US"/>
        </w:rPr>
      </w:pPr>
      <w:r w:rsidRPr="00C17533">
        <w:rPr>
          <w:lang w:val="en-US"/>
        </w:rPr>
        <w:t>State property is not entirely covered by the financial statements of public sector entities;</w:t>
      </w:r>
    </w:p>
    <w:p w14:paraId="164DD051" w14:textId="3DE2BE88" w:rsidR="006A0A91" w:rsidRPr="00C17533" w:rsidRDefault="00C11B97" w:rsidP="00C17533">
      <w:pPr>
        <w:pStyle w:val="ListParagraph"/>
        <w:numPr>
          <w:ilvl w:val="0"/>
          <w:numId w:val="14"/>
        </w:numPr>
        <w:spacing w:before="100" w:beforeAutospacing="1"/>
        <w:rPr>
          <w:lang w:val="en-US"/>
        </w:rPr>
      </w:pPr>
      <w:r w:rsidRPr="00C17533">
        <w:rPr>
          <w:lang w:val="en-US"/>
        </w:rPr>
        <w:t xml:space="preserve">There is no unified information base (register) in the public sector for non-financial asset reporting </w:t>
      </w:r>
      <w:r w:rsidR="00A040C4" w:rsidRPr="00C17533">
        <w:rPr>
          <w:lang w:val="en-US"/>
        </w:rPr>
        <w:t>- It</w:t>
      </w:r>
      <w:r w:rsidRPr="00C17533">
        <w:rPr>
          <w:lang w:val="en-US"/>
        </w:rPr>
        <w:t xml:space="preserve"> is not determined in wh</w:t>
      </w:r>
      <w:r w:rsidR="006E3E74" w:rsidRPr="00C17533">
        <w:rPr>
          <w:lang w:val="en-US"/>
        </w:rPr>
        <w:t>at books a public sector entity</w:t>
      </w:r>
      <w:r w:rsidRPr="00C17533">
        <w:rPr>
          <w:lang w:val="en-US"/>
        </w:rPr>
        <w:t xml:space="preserve"> has to keep records;</w:t>
      </w:r>
      <w:r w:rsidR="006A0A91" w:rsidRPr="00C17533">
        <w:rPr>
          <w:lang w:val="en-US"/>
        </w:rPr>
        <w:t xml:space="preserve"> </w:t>
      </w:r>
    </w:p>
    <w:p w14:paraId="0213A3C5" w14:textId="423D7969" w:rsidR="006A0A91" w:rsidRPr="00C17533" w:rsidRDefault="006A0A91" w:rsidP="00C17533">
      <w:pPr>
        <w:pStyle w:val="ListParagraph"/>
        <w:numPr>
          <w:ilvl w:val="0"/>
          <w:numId w:val="14"/>
        </w:numPr>
        <w:spacing w:before="100" w:beforeAutospacing="1"/>
        <w:rPr>
          <w:lang w:val="en-US"/>
        </w:rPr>
      </w:pPr>
      <w:r w:rsidRPr="00C17533">
        <w:rPr>
          <w:lang w:val="en-US"/>
        </w:rPr>
        <w:t>The problem of asset records in the centralised general ledger maintained with the Treasury Administration;</w:t>
      </w:r>
    </w:p>
    <w:p w14:paraId="467E5FDC" w14:textId="77777777" w:rsidR="006A0A91" w:rsidRPr="00C17533" w:rsidRDefault="006A0A91" w:rsidP="00C17533">
      <w:pPr>
        <w:pStyle w:val="ListParagraph"/>
        <w:numPr>
          <w:ilvl w:val="0"/>
          <w:numId w:val="14"/>
        </w:numPr>
        <w:spacing w:before="100" w:beforeAutospacing="1"/>
        <w:rPr>
          <w:lang w:val="en-US"/>
        </w:rPr>
      </w:pPr>
      <w:r w:rsidRPr="00C17533">
        <w:rPr>
          <w:lang w:val="en-US"/>
        </w:rPr>
        <w:t>The problem of division of assets by government level;</w:t>
      </w:r>
    </w:p>
    <w:p w14:paraId="17B6FE84" w14:textId="0FDE855C" w:rsidR="006A0A91" w:rsidRPr="00C17533" w:rsidRDefault="006A0A91" w:rsidP="00C17533">
      <w:pPr>
        <w:pStyle w:val="ListParagraph"/>
        <w:numPr>
          <w:ilvl w:val="0"/>
          <w:numId w:val="14"/>
        </w:numPr>
        <w:spacing w:before="100" w:beforeAutospacing="1"/>
        <w:rPr>
          <w:lang w:val="en-US"/>
        </w:rPr>
      </w:pPr>
      <w:r w:rsidRPr="00C17533">
        <w:rPr>
          <w:lang w:val="en-US"/>
        </w:rPr>
        <w:t>Who records the accountings for land, ownership of which belongs to the state and economic benefits also are received by the state?</w:t>
      </w:r>
    </w:p>
    <w:p w14:paraId="02202D7B" w14:textId="66AECD12" w:rsidR="006A0A91" w:rsidRPr="00C17533" w:rsidRDefault="006A0A91" w:rsidP="00C17533">
      <w:pPr>
        <w:spacing w:before="100" w:beforeAutospacing="1"/>
        <w:ind w:left="-709"/>
        <w:rPr>
          <w:b/>
          <w:lang w:val="en-US"/>
        </w:rPr>
      </w:pPr>
      <w:r w:rsidRPr="00C17533">
        <w:rPr>
          <w:b/>
          <w:lang w:val="en-US"/>
        </w:rPr>
        <w:t>Depreciation</w:t>
      </w:r>
    </w:p>
    <w:p w14:paraId="73040CB5" w14:textId="4B4CFDB2" w:rsidR="00C11B97" w:rsidRPr="00C17533" w:rsidRDefault="00C11B97" w:rsidP="00C17533">
      <w:pPr>
        <w:pStyle w:val="ListParagraph"/>
        <w:numPr>
          <w:ilvl w:val="0"/>
          <w:numId w:val="15"/>
        </w:numPr>
        <w:spacing w:before="100" w:beforeAutospacing="1"/>
        <w:rPr>
          <w:lang w:val="en-US"/>
        </w:rPr>
      </w:pPr>
      <w:r w:rsidRPr="00C17533">
        <w:rPr>
          <w:lang w:val="en-US"/>
        </w:rPr>
        <w:t xml:space="preserve">Problems of depreciation </w:t>
      </w:r>
      <w:r w:rsidR="006E3E74" w:rsidRPr="00C17533">
        <w:rPr>
          <w:lang w:val="en-US"/>
        </w:rPr>
        <w:t>method (we apply linear accrual</w:t>
      </w:r>
      <w:r w:rsidRPr="00C17533">
        <w:rPr>
          <w:lang w:val="en-US"/>
        </w:rPr>
        <w:t xml:space="preserve"> method, which is not efficient for all types of assets);</w:t>
      </w:r>
    </w:p>
    <w:p w14:paraId="2D093083" w14:textId="54D3159C" w:rsidR="00C11B97" w:rsidRPr="00C17533" w:rsidRDefault="00C11B97" w:rsidP="00C17533">
      <w:pPr>
        <w:pStyle w:val="ListParagraph"/>
        <w:numPr>
          <w:ilvl w:val="0"/>
          <w:numId w:val="15"/>
        </w:numPr>
        <w:spacing w:before="100" w:beforeAutospacing="1"/>
        <w:rPr>
          <w:lang w:val="en-US"/>
        </w:rPr>
      </w:pPr>
      <w:r w:rsidRPr="00C17533">
        <w:rPr>
          <w:lang w:val="en-US"/>
        </w:rPr>
        <w:t xml:space="preserve">Identification of non-financial </w:t>
      </w:r>
      <w:r w:rsidR="006E3E74" w:rsidRPr="00C17533">
        <w:rPr>
          <w:lang w:val="en-US"/>
        </w:rPr>
        <w:t>assets by sources makes accrual</w:t>
      </w:r>
      <w:r w:rsidRPr="00C17533">
        <w:rPr>
          <w:lang w:val="en-US"/>
        </w:rPr>
        <w:t xml:space="preserve"> depreciation and property tax ca</w:t>
      </w:r>
      <w:r w:rsidR="006A0A91" w:rsidRPr="00C17533">
        <w:rPr>
          <w:lang w:val="en-US"/>
        </w:rPr>
        <w:t>lculation more difficult due to</w:t>
      </w:r>
      <w:r w:rsidRPr="00C17533">
        <w:rPr>
          <w:lang w:val="en-US"/>
        </w:rPr>
        <w:t xml:space="preserve"> different regulations</w:t>
      </w:r>
      <w:r w:rsidR="00C17533">
        <w:rPr>
          <w:lang w:val="en-US"/>
        </w:rPr>
        <w:t>.</w:t>
      </w:r>
    </w:p>
    <w:p w14:paraId="0E424F60" w14:textId="77777777" w:rsidR="006A0A91" w:rsidRPr="00C17533" w:rsidRDefault="006A0A91" w:rsidP="00C17533">
      <w:pPr>
        <w:spacing w:before="100" w:beforeAutospacing="1"/>
        <w:rPr>
          <w:lang w:val="en-US"/>
        </w:rPr>
      </w:pPr>
    </w:p>
    <w:p w14:paraId="0F64C135" w14:textId="40F0E208" w:rsidR="006A0A91" w:rsidRPr="00C17533" w:rsidRDefault="006A0A91" w:rsidP="00C17533">
      <w:pPr>
        <w:spacing w:before="100" w:beforeAutospacing="1"/>
        <w:ind w:left="-709"/>
        <w:rPr>
          <w:b/>
          <w:lang w:val="en-US"/>
        </w:rPr>
      </w:pPr>
      <w:r w:rsidRPr="00C17533">
        <w:rPr>
          <w:b/>
          <w:lang w:val="en-US"/>
        </w:rPr>
        <w:lastRenderedPageBreak/>
        <w:t>Chart of Accounts</w:t>
      </w:r>
    </w:p>
    <w:p w14:paraId="5496CB0F" w14:textId="4444E9D2" w:rsidR="00C11B97" w:rsidRPr="00C17533" w:rsidRDefault="00C11B97" w:rsidP="00C17533">
      <w:pPr>
        <w:pStyle w:val="ListParagraph"/>
        <w:numPr>
          <w:ilvl w:val="0"/>
          <w:numId w:val="16"/>
        </w:numPr>
        <w:spacing w:before="100" w:beforeAutospacing="1"/>
        <w:rPr>
          <w:lang w:val="en-US"/>
        </w:rPr>
      </w:pPr>
      <w:r w:rsidRPr="00C17533">
        <w:rPr>
          <w:lang w:val="en-US"/>
        </w:rPr>
        <w:t>Separation of capital and current expenditure for repairs wi</w:t>
      </w:r>
      <w:r w:rsidR="006E3E74" w:rsidRPr="00C17533">
        <w:rPr>
          <w:lang w:val="en-US"/>
        </w:rPr>
        <w:t>thin</w:t>
      </w:r>
      <w:r w:rsidRPr="00C17533">
        <w:rPr>
          <w:lang w:val="en-US"/>
        </w:rPr>
        <w:t xml:space="preserve"> the same project (according to the same budget estimate);</w:t>
      </w:r>
    </w:p>
    <w:p w14:paraId="527BEAB2" w14:textId="4C4E95C0" w:rsidR="006A0A91" w:rsidRPr="00C17533" w:rsidRDefault="006A0A91" w:rsidP="00C17533">
      <w:pPr>
        <w:pStyle w:val="ListParagraph"/>
        <w:numPr>
          <w:ilvl w:val="0"/>
          <w:numId w:val="16"/>
        </w:numPr>
        <w:spacing w:before="100" w:beforeAutospacing="1"/>
        <w:rPr>
          <w:lang w:val="en-US"/>
        </w:rPr>
      </w:pPr>
      <w:r w:rsidRPr="00C17533">
        <w:rPr>
          <w:lang w:val="en-US"/>
        </w:rPr>
        <w:t>Whether it is necessary to allocate a separate class for accounting for military equipment in the accounting records (this is clearly broader than just CoA)</w:t>
      </w:r>
      <w:r w:rsidR="00C17533">
        <w:rPr>
          <w:lang w:val="en-US"/>
        </w:rPr>
        <w:t>.</w:t>
      </w:r>
    </w:p>
    <w:p w14:paraId="76E79324" w14:textId="7DD3D3D8" w:rsidR="006A0A91" w:rsidRPr="00C17533" w:rsidRDefault="006A0A91" w:rsidP="00C17533">
      <w:pPr>
        <w:spacing w:before="100" w:beforeAutospacing="1"/>
        <w:ind w:left="-709"/>
        <w:rPr>
          <w:b/>
          <w:lang w:val="en-US"/>
        </w:rPr>
      </w:pPr>
      <w:r w:rsidRPr="00C17533">
        <w:rPr>
          <w:b/>
          <w:lang w:val="en-US"/>
        </w:rPr>
        <w:t>Asset Recognition Thresholds</w:t>
      </w:r>
    </w:p>
    <w:p w14:paraId="0AEE903E" w14:textId="2C739ED5" w:rsidR="00171083" w:rsidRPr="00C17533" w:rsidRDefault="00C11B97" w:rsidP="00C17533">
      <w:pPr>
        <w:pStyle w:val="ListParagraph"/>
        <w:numPr>
          <w:ilvl w:val="0"/>
          <w:numId w:val="17"/>
        </w:numPr>
        <w:spacing w:before="100" w:beforeAutospacing="1"/>
        <w:rPr>
          <w:lang w:val="en-US"/>
        </w:rPr>
      </w:pPr>
      <w:r w:rsidRPr="00C17533">
        <w:rPr>
          <w:lang w:val="en-US"/>
        </w:rPr>
        <w:t>Is there a value above which non-financial assets are recognised?</w:t>
      </w:r>
    </w:p>
    <w:p w14:paraId="76EF0E2D" w14:textId="23C204DD" w:rsidR="00975D6C" w:rsidRPr="00C17533" w:rsidRDefault="006A0A91" w:rsidP="00A040C4">
      <w:pPr>
        <w:spacing w:before="100" w:beforeAutospacing="1"/>
        <w:ind w:left="-709"/>
        <w:rPr>
          <w:lang w:val="en-US"/>
        </w:rPr>
      </w:pPr>
      <w:r w:rsidRPr="006A0A91">
        <w:rPr>
          <w:lang w:val="en-US"/>
        </w:rPr>
        <w:t xml:space="preserve">The presentation by the facilitator in </w:t>
      </w:r>
      <w:r w:rsidR="00563A6A" w:rsidRPr="006A0A91">
        <w:rPr>
          <w:lang w:val="en-US"/>
        </w:rPr>
        <w:t>Tbilisi</w:t>
      </w:r>
      <w:r>
        <w:rPr>
          <w:lang w:val="en-US"/>
        </w:rPr>
        <w:t xml:space="preserve"> included a number of the issues raised above and these were discussed during the working group meeting. Notwithstanding this, as with the earlier open question on issues regarding stock</w:t>
      </w:r>
      <w:r w:rsidR="001240D3">
        <w:rPr>
          <w:lang w:val="en-US"/>
        </w:rPr>
        <w:t>-</w:t>
      </w:r>
      <w:r>
        <w:rPr>
          <w:lang w:val="en-US"/>
        </w:rPr>
        <w:t xml:space="preserve">takes, these </w:t>
      </w:r>
      <w:r w:rsidR="001240D3">
        <w:rPr>
          <w:lang w:val="en-US"/>
        </w:rPr>
        <w:t xml:space="preserve">issues provide useful guidance for </w:t>
      </w:r>
      <w:r w:rsidR="00A040C4">
        <w:rPr>
          <w:lang w:val="en-US"/>
        </w:rPr>
        <w:t>areas that should be directly addressed in any policy</w:t>
      </w:r>
      <w:r w:rsidR="001240D3">
        <w:rPr>
          <w:lang w:val="en-US"/>
        </w:rPr>
        <w:t xml:space="preserve"> and procedures manual that would be developed. </w:t>
      </w:r>
      <w:r>
        <w:rPr>
          <w:lang w:val="en-US"/>
        </w:rPr>
        <w:t xml:space="preserve">     </w:t>
      </w:r>
    </w:p>
    <w:p w14:paraId="1CBF09AF" w14:textId="5B184918" w:rsidR="00D16A29" w:rsidRPr="00C17533" w:rsidRDefault="00DB0E88" w:rsidP="00A040C4">
      <w:pPr>
        <w:spacing w:before="100" w:beforeAutospacing="1"/>
        <w:ind w:left="-709"/>
        <w:rPr>
          <w:lang w:val="en-US"/>
        </w:rPr>
      </w:pPr>
      <w:r w:rsidRPr="00C17533">
        <w:rPr>
          <w:lang w:val="en-US"/>
        </w:rPr>
        <w:t>Appendix B</w:t>
      </w:r>
      <w:r w:rsidR="001240D3" w:rsidRPr="00C17533">
        <w:rPr>
          <w:lang w:val="en-US"/>
        </w:rPr>
        <w:t xml:space="preserve"> is a first </w:t>
      </w:r>
      <w:r w:rsidR="006E2691" w:rsidRPr="00C17533">
        <w:rPr>
          <w:lang w:val="en-US"/>
        </w:rPr>
        <w:t xml:space="preserve">draft in the </w:t>
      </w:r>
      <w:r w:rsidR="001240D3" w:rsidRPr="00C17533">
        <w:rPr>
          <w:lang w:val="en-US"/>
        </w:rPr>
        <w:t>develop</w:t>
      </w:r>
      <w:r w:rsidR="006E2691" w:rsidRPr="00C17533">
        <w:rPr>
          <w:lang w:val="en-US"/>
        </w:rPr>
        <w:t>ment of</w:t>
      </w:r>
      <w:r w:rsidR="001240D3" w:rsidRPr="00C17533">
        <w:rPr>
          <w:lang w:val="en-US"/>
        </w:rPr>
        <w:t xml:space="preserve"> an outline for a generic policy and procedures manual for </w:t>
      </w:r>
      <w:r w:rsidR="006E2691" w:rsidRPr="00C17533">
        <w:rPr>
          <w:lang w:val="en-US"/>
        </w:rPr>
        <w:t xml:space="preserve">review by </w:t>
      </w:r>
      <w:r w:rsidR="001240D3" w:rsidRPr="00C17533">
        <w:rPr>
          <w:lang w:val="en-US"/>
        </w:rPr>
        <w:t xml:space="preserve">the Assets’ </w:t>
      </w:r>
      <w:r w:rsidRPr="00C17533">
        <w:rPr>
          <w:lang w:val="en-US"/>
        </w:rPr>
        <w:t>W</w:t>
      </w:r>
      <w:r w:rsidR="001240D3" w:rsidRPr="00C17533">
        <w:rPr>
          <w:lang w:val="en-US"/>
        </w:rPr>
        <w:t xml:space="preserve">orking </w:t>
      </w:r>
      <w:r w:rsidRPr="00C17533">
        <w:rPr>
          <w:lang w:val="en-US"/>
        </w:rPr>
        <w:t>G</w:t>
      </w:r>
      <w:r w:rsidR="006E2691" w:rsidRPr="00C17533">
        <w:rPr>
          <w:lang w:val="en-US"/>
        </w:rPr>
        <w:t>roup, developed based on discussions within the group and from the analysis of this survey</w:t>
      </w:r>
      <w:r w:rsidR="001240D3" w:rsidRPr="00C17533">
        <w:rPr>
          <w:lang w:val="en-US"/>
        </w:rPr>
        <w:t>.</w:t>
      </w:r>
    </w:p>
    <w:p w14:paraId="29BF2C1C" w14:textId="5316ADC1" w:rsidR="006A26AE" w:rsidRPr="00A040C4" w:rsidRDefault="00D16A29" w:rsidP="00C17533">
      <w:pPr>
        <w:spacing w:before="100" w:beforeAutospacing="1"/>
        <w:ind w:left="-709"/>
        <w:rPr>
          <w:b/>
          <w:sz w:val="28"/>
          <w:szCs w:val="28"/>
          <w:lang w:val="en-US"/>
        </w:rPr>
      </w:pPr>
      <w:r w:rsidRPr="00A040C4">
        <w:rPr>
          <w:b/>
          <w:sz w:val="28"/>
          <w:szCs w:val="28"/>
          <w:lang w:val="en-US"/>
        </w:rPr>
        <w:t xml:space="preserve">Summary of Recommendations </w:t>
      </w:r>
      <w:r w:rsidR="006A26AE" w:rsidRPr="00A040C4">
        <w:rPr>
          <w:b/>
          <w:sz w:val="28"/>
          <w:szCs w:val="28"/>
          <w:lang w:val="en-US"/>
        </w:rPr>
        <w:t xml:space="preserve">and </w:t>
      </w:r>
      <w:r w:rsidR="00A040C4">
        <w:rPr>
          <w:b/>
          <w:sz w:val="28"/>
          <w:szCs w:val="28"/>
          <w:lang w:val="en-US"/>
        </w:rPr>
        <w:t xml:space="preserve">possible </w:t>
      </w:r>
      <w:r w:rsidR="006A26AE" w:rsidRPr="00A040C4">
        <w:rPr>
          <w:b/>
          <w:sz w:val="28"/>
          <w:szCs w:val="28"/>
          <w:lang w:val="en-US"/>
        </w:rPr>
        <w:t xml:space="preserve">follow-up </w:t>
      </w:r>
      <w:r w:rsidR="00A040C4">
        <w:rPr>
          <w:b/>
          <w:sz w:val="28"/>
          <w:szCs w:val="28"/>
          <w:lang w:val="en-US"/>
        </w:rPr>
        <w:t xml:space="preserve">work </w:t>
      </w:r>
      <w:r w:rsidRPr="00A040C4">
        <w:rPr>
          <w:b/>
          <w:sz w:val="28"/>
          <w:szCs w:val="28"/>
          <w:lang w:val="en-US"/>
        </w:rPr>
        <w:t>for further review</w:t>
      </w:r>
      <w:r w:rsidR="00A040C4">
        <w:rPr>
          <w:b/>
          <w:sz w:val="28"/>
          <w:szCs w:val="28"/>
          <w:lang w:val="en-US"/>
        </w:rPr>
        <w:t xml:space="preserve"> by the Working Group</w:t>
      </w:r>
      <w:r w:rsidRPr="00A040C4">
        <w:rPr>
          <w:b/>
          <w:sz w:val="28"/>
          <w:szCs w:val="28"/>
          <w:lang w:val="en-US"/>
        </w:rPr>
        <w:t>:</w:t>
      </w:r>
    </w:p>
    <w:p w14:paraId="6CFA8263" w14:textId="77777777" w:rsidR="006A26AE" w:rsidRDefault="006A26AE" w:rsidP="00C17533">
      <w:pPr>
        <w:spacing w:before="100" w:beforeAutospacing="1"/>
        <w:ind w:left="-709"/>
        <w:rPr>
          <w:lang w:val="en-US"/>
        </w:rPr>
      </w:pPr>
    </w:p>
    <w:p w14:paraId="5F7D3A82" w14:textId="77777777" w:rsidR="00595E88" w:rsidRPr="00A040C4" w:rsidRDefault="006A26AE" w:rsidP="00A040C4">
      <w:pPr>
        <w:pStyle w:val="ListParagraph"/>
        <w:numPr>
          <w:ilvl w:val="0"/>
          <w:numId w:val="17"/>
        </w:numPr>
        <w:spacing w:before="100" w:beforeAutospacing="1"/>
        <w:rPr>
          <w:lang w:val="en-US"/>
        </w:rPr>
      </w:pPr>
      <w:r w:rsidRPr="00A040C4">
        <w:rPr>
          <w:lang w:val="en-US"/>
        </w:rPr>
        <w:t xml:space="preserve">For countries that indicated that they undertook a regular stocktake but did not specify the period, check whether the frequency is annual or another timeframe. </w:t>
      </w:r>
    </w:p>
    <w:p w14:paraId="77A13688" w14:textId="165FE185" w:rsidR="0073765B" w:rsidRPr="00A040C4" w:rsidRDefault="00595E88" w:rsidP="00A040C4">
      <w:pPr>
        <w:pStyle w:val="ListParagraph"/>
        <w:numPr>
          <w:ilvl w:val="0"/>
          <w:numId w:val="17"/>
        </w:numPr>
        <w:spacing w:before="100" w:beforeAutospacing="1"/>
        <w:rPr>
          <w:lang w:val="en-US"/>
        </w:rPr>
      </w:pPr>
      <w:r w:rsidRPr="00A040C4">
        <w:rPr>
          <w:lang w:val="en-US"/>
        </w:rPr>
        <w:t xml:space="preserve">Develop a set of standard non-financial asset </w:t>
      </w:r>
      <w:r w:rsidR="00A040C4" w:rsidRPr="00A040C4">
        <w:rPr>
          <w:lang w:val="en-US"/>
        </w:rPr>
        <w:t>classes that</w:t>
      </w:r>
      <w:r w:rsidRPr="00A040C4">
        <w:rPr>
          <w:lang w:val="en-US"/>
        </w:rPr>
        <w:t xml:space="preserve"> could form the basis of generic accounting policies and procedures.</w:t>
      </w:r>
      <w:r w:rsidR="006A26AE" w:rsidRPr="00A040C4">
        <w:rPr>
          <w:lang w:val="en-US"/>
        </w:rPr>
        <w:t xml:space="preserve"> </w:t>
      </w:r>
    </w:p>
    <w:p w14:paraId="26C8793F" w14:textId="77777777" w:rsidR="0073765B" w:rsidRPr="00A040C4" w:rsidRDefault="00595E88" w:rsidP="00A040C4">
      <w:pPr>
        <w:pStyle w:val="ListParagraph"/>
        <w:numPr>
          <w:ilvl w:val="0"/>
          <w:numId w:val="17"/>
        </w:numPr>
        <w:spacing w:before="100" w:beforeAutospacing="1"/>
        <w:rPr>
          <w:lang w:val="en-US"/>
        </w:rPr>
      </w:pPr>
      <w:r w:rsidRPr="00A040C4">
        <w:rPr>
          <w:lang w:val="en-US"/>
        </w:rPr>
        <w:t>A Specific discussion regarding depreciation rates and approaches maybe a useful follow-up activity for the working group including a presentation by Serbia regarding the use of the declining balance methodology.</w:t>
      </w:r>
    </w:p>
    <w:p w14:paraId="79EBB76A" w14:textId="529CBB2F" w:rsidR="0073765B" w:rsidRPr="00A040C4" w:rsidRDefault="0073765B" w:rsidP="00A040C4">
      <w:pPr>
        <w:pStyle w:val="ListParagraph"/>
        <w:numPr>
          <w:ilvl w:val="0"/>
          <w:numId w:val="17"/>
        </w:numPr>
        <w:spacing w:before="100" w:beforeAutospacing="1"/>
        <w:rPr>
          <w:lang w:val="en-US"/>
        </w:rPr>
      </w:pPr>
      <w:r w:rsidRPr="00A040C4">
        <w:rPr>
          <w:lang w:val="en-US"/>
        </w:rPr>
        <w:t>Countries could be asked to provide guidance regarding one area of policy and the supporting procedures to be used as the basis for developing a generic policy for the manual;</w:t>
      </w:r>
    </w:p>
    <w:p w14:paraId="61C5E2F9" w14:textId="3D202999" w:rsidR="0073765B" w:rsidRPr="00A040C4" w:rsidRDefault="0073765B" w:rsidP="00A040C4">
      <w:pPr>
        <w:pStyle w:val="ListParagraph"/>
        <w:numPr>
          <w:ilvl w:val="0"/>
          <w:numId w:val="17"/>
        </w:numPr>
        <w:spacing w:before="100" w:beforeAutospacing="1"/>
        <w:rPr>
          <w:lang w:val="en-US"/>
        </w:rPr>
      </w:pPr>
      <w:r w:rsidRPr="00A040C4">
        <w:rPr>
          <w:lang w:val="en-US"/>
        </w:rPr>
        <w:t xml:space="preserve">Further discussion could take place on asset thresholds to determine whether some common methodology or approach could be used for the manual; </w:t>
      </w:r>
    </w:p>
    <w:p w14:paraId="61EB522B" w14:textId="77777777" w:rsidR="008A1AEE" w:rsidRPr="00A040C4" w:rsidRDefault="008A1AEE" w:rsidP="00A040C4">
      <w:pPr>
        <w:pStyle w:val="ListParagraph"/>
        <w:numPr>
          <w:ilvl w:val="0"/>
          <w:numId w:val="17"/>
        </w:numPr>
        <w:spacing w:before="100" w:beforeAutospacing="1"/>
        <w:rPr>
          <w:lang w:val="en-US"/>
        </w:rPr>
      </w:pPr>
      <w:r w:rsidRPr="00A040C4">
        <w:rPr>
          <w:lang w:val="en-US"/>
        </w:rPr>
        <w:t>Further questions and discussions regarding the management of assets registers would be useful including: the processes in place to manage assets and to adjust the accounting information in the register for financial reporting and the classes or types of material assets which are not included in the register. It may also be interesting to determine the degree to which the register’s financial transactions are recorded or linked to the general ledger of the accounting system. Ideally, an assets register would be a sub-ledger of the general ledger in the accounting system.</w:t>
      </w:r>
    </w:p>
    <w:p w14:paraId="4A7FD8A6" w14:textId="77777777" w:rsidR="00C17533" w:rsidRPr="00A040C4" w:rsidRDefault="008A1AEE" w:rsidP="00A040C4">
      <w:pPr>
        <w:pStyle w:val="ListParagraph"/>
        <w:numPr>
          <w:ilvl w:val="0"/>
          <w:numId w:val="17"/>
        </w:numPr>
        <w:spacing w:before="100" w:beforeAutospacing="1"/>
        <w:rPr>
          <w:lang w:val="en-US"/>
        </w:rPr>
      </w:pPr>
      <w:r w:rsidRPr="00A040C4">
        <w:rPr>
          <w:lang w:val="en-US"/>
        </w:rPr>
        <w:t>For the four countries that indicated that they maintain dual registers, centrally and in line ministries, it would be useful to determine whether these registers are entirely separate, and if they are used for the same information or for controlling different types of assets (eg land and building is maintained in a central register while operational assets are maintained in line ministries)</w:t>
      </w:r>
      <w:r w:rsidR="00C17533" w:rsidRPr="00A040C4">
        <w:rPr>
          <w:lang w:val="en-US"/>
        </w:rPr>
        <w:t>.</w:t>
      </w:r>
    </w:p>
    <w:p w14:paraId="14BB7ADA" w14:textId="49FB4169" w:rsidR="00595E88" w:rsidRPr="00A040C4" w:rsidRDefault="00C17533" w:rsidP="00A040C4">
      <w:pPr>
        <w:pStyle w:val="ListParagraph"/>
        <w:numPr>
          <w:ilvl w:val="0"/>
          <w:numId w:val="17"/>
        </w:numPr>
        <w:spacing w:before="100" w:beforeAutospacing="1"/>
        <w:rPr>
          <w:lang w:val="en-US"/>
        </w:rPr>
      </w:pPr>
      <w:r w:rsidRPr="00A040C4">
        <w:rPr>
          <w:lang w:val="en-US"/>
        </w:rPr>
        <w:t xml:space="preserve">It would be useful to obtain examples of the asset threshold policies and procedures for inclusion in a generic policy manual. </w:t>
      </w:r>
      <w:r w:rsidR="008A1AEE" w:rsidRPr="00A040C4">
        <w:rPr>
          <w:lang w:val="en-US"/>
        </w:rPr>
        <w:t xml:space="preserve">    </w:t>
      </w:r>
      <w:r w:rsidR="00595E88" w:rsidRPr="00A040C4">
        <w:rPr>
          <w:lang w:val="en-US"/>
        </w:rPr>
        <w:t xml:space="preserve"> </w:t>
      </w:r>
    </w:p>
    <w:p w14:paraId="5955A560" w14:textId="2CF572D2" w:rsidR="00C17533" w:rsidRPr="00A040C4" w:rsidRDefault="00C17533" w:rsidP="00A040C4">
      <w:pPr>
        <w:pStyle w:val="ListParagraph"/>
        <w:numPr>
          <w:ilvl w:val="0"/>
          <w:numId w:val="17"/>
        </w:numPr>
        <w:spacing w:before="100" w:beforeAutospacing="1"/>
        <w:rPr>
          <w:lang w:val="en-US"/>
        </w:rPr>
      </w:pPr>
      <w:r w:rsidRPr="00A040C4">
        <w:rPr>
          <w:lang w:val="en-US"/>
        </w:rPr>
        <w:t xml:space="preserve">Invite a country, perhaps Bulgaria, to provide a case study on the method for revaluing assets (and testing </w:t>
      </w:r>
      <w:r w:rsidR="00A040C4">
        <w:rPr>
          <w:lang w:val="en-US"/>
        </w:rPr>
        <w:t xml:space="preserve">for </w:t>
      </w:r>
      <w:r w:rsidRPr="00A040C4">
        <w:rPr>
          <w:lang w:val="en-US"/>
        </w:rPr>
        <w:t xml:space="preserve">impairment) for a future working group meeting. </w:t>
      </w:r>
    </w:p>
    <w:p w14:paraId="334DA2D9" w14:textId="77777777" w:rsidR="006A26AE" w:rsidRDefault="006A26AE" w:rsidP="00C17533">
      <w:pPr>
        <w:spacing w:before="100" w:beforeAutospacing="1"/>
        <w:ind w:left="-709"/>
        <w:rPr>
          <w:lang w:val="en-US"/>
        </w:rPr>
      </w:pPr>
    </w:p>
    <w:p w14:paraId="5DD30482" w14:textId="260BF1F2" w:rsidR="001240D3" w:rsidRPr="006A26AE" w:rsidRDefault="001240D3" w:rsidP="00C17533">
      <w:pPr>
        <w:spacing w:before="100" w:beforeAutospacing="1"/>
        <w:ind w:left="-709"/>
        <w:rPr>
          <w:lang w:val="en-US"/>
        </w:rPr>
      </w:pPr>
      <w:r w:rsidRPr="006A26AE">
        <w:rPr>
          <w:lang w:val="en-US"/>
        </w:rPr>
        <w:lastRenderedPageBreak/>
        <w:br w:type="page"/>
      </w:r>
    </w:p>
    <w:p w14:paraId="3F4A8EBA" w14:textId="7F6F9288" w:rsidR="00DB0E88" w:rsidRDefault="00DB0E88" w:rsidP="001240D3">
      <w:pPr>
        <w:jc w:val="center"/>
        <w:rPr>
          <w:b/>
          <w:u w:val="single"/>
          <w:lang w:val="en-US"/>
        </w:rPr>
      </w:pPr>
      <w:r>
        <w:rPr>
          <w:b/>
          <w:u w:val="single"/>
          <w:lang w:val="en-US"/>
        </w:rPr>
        <w:lastRenderedPageBreak/>
        <w:t>Appendix A</w:t>
      </w:r>
    </w:p>
    <w:p w14:paraId="0EB45F65" w14:textId="2A52430C" w:rsidR="00C3262C" w:rsidRPr="00C42A67" w:rsidRDefault="001240D3" w:rsidP="001240D3">
      <w:pPr>
        <w:jc w:val="center"/>
        <w:rPr>
          <w:b/>
          <w:u w:val="single"/>
          <w:lang w:val="en-US"/>
        </w:rPr>
      </w:pPr>
      <w:r w:rsidRPr="00C42A67">
        <w:rPr>
          <w:b/>
          <w:u w:val="single"/>
          <w:lang w:val="en-US"/>
        </w:rPr>
        <w:t xml:space="preserve">Draft Template for a Chapter on Non-Financial Assets Management to be included in a Generic Policy and Procedures Manual </w:t>
      </w:r>
    </w:p>
    <w:p w14:paraId="2C485D35" w14:textId="77777777" w:rsidR="00C3262C" w:rsidRDefault="00C3262C" w:rsidP="001240D3">
      <w:pPr>
        <w:jc w:val="center"/>
        <w:rPr>
          <w:u w:val="single"/>
          <w:lang w:val="en-US"/>
        </w:rPr>
      </w:pPr>
    </w:p>
    <w:p w14:paraId="7F40D3C0" w14:textId="25139FE3" w:rsidR="00975D6C" w:rsidRPr="00C3262C" w:rsidRDefault="00C3262C" w:rsidP="00C3262C">
      <w:pPr>
        <w:rPr>
          <w:lang w:val="en-US"/>
        </w:rPr>
      </w:pPr>
      <w:r w:rsidRPr="00C3262C">
        <w:rPr>
          <w:lang w:val="en-US"/>
        </w:rPr>
        <w:t xml:space="preserve">The following is proposed as a starting point </w:t>
      </w:r>
      <w:r>
        <w:rPr>
          <w:lang w:val="en-US"/>
        </w:rPr>
        <w:t xml:space="preserve">for discussions </w:t>
      </w:r>
      <w:r w:rsidRPr="00C3262C">
        <w:rPr>
          <w:lang w:val="en-US"/>
        </w:rPr>
        <w:t>only</w:t>
      </w:r>
      <w:r>
        <w:rPr>
          <w:lang w:val="en-US"/>
        </w:rPr>
        <w:t xml:space="preserve">, and is not intended to be comprehensive at this stage. It would be useful for each country in the working group to review this against existing policies and manuals, along with any current issues that you may have to ensure they are covered in this template. It would be particularly useful for this to be benchmarked against the recently provided Kazakhstan manual, and the Croatian policy documents mentioned during the last meeting.    </w:t>
      </w:r>
      <w:r w:rsidR="00975D6C" w:rsidRPr="00C3262C">
        <w:rPr>
          <w:lang w:val="en-US"/>
        </w:rPr>
        <w:br w:type="page"/>
      </w:r>
    </w:p>
    <w:p w14:paraId="706A365E" w14:textId="4760066A" w:rsidR="001240D3" w:rsidRPr="001240D3" w:rsidRDefault="001240D3" w:rsidP="001240D3">
      <w:pPr>
        <w:pStyle w:val="ListParagraph"/>
        <w:numPr>
          <w:ilvl w:val="0"/>
          <w:numId w:val="7"/>
        </w:numPr>
        <w:jc w:val="both"/>
        <w:rPr>
          <w:lang w:val="en-US"/>
        </w:rPr>
      </w:pPr>
      <w:r w:rsidRPr="001240D3">
        <w:rPr>
          <w:lang w:val="en-US"/>
        </w:rPr>
        <w:lastRenderedPageBreak/>
        <w:t>Purpose of the Chapter</w:t>
      </w:r>
    </w:p>
    <w:p w14:paraId="2A0971D0" w14:textId="5F42AC04" w:rsidR="001240D3" w:rsidRDefault="001240D3" w:rsidP="001240D3">
      <w:pPr>
        <w:pStyle w:val="ListParagraph"/>
        <w:numPr>
          <w:ilvl w:val="0"/>
          <w:numId w:val="7"/>
        </w:numPr>
        <w:jc w:val="both"/>
        <w:rPr>
          <w:lang w:val="en-US"/>
        </w:rPr>
      </w:pPr>
      <w:r w:rsidRPr="001240D3">
        <w:rPr>
          <w:lang w:val="en-US"/>
        </w:rPr>
        <w:t>Legislative basis – refer to laws and relevant standards here</w:t>
      </w:r>
      <w:r w:rsidR="00C42A67">
        <w:rPr>
          <w:lang w:val="en-US"/>
        </w:rPr>
        <w:t xml:space="preserve"> including GFSM</w:t>
      </w:r>
      <w:r w:rsidR="00A040C4">
        <w:rPr>
          <w:lang w:val="en-US"/>
        </w:rPr>
        <w:t>2001/</w:t>
      </w:r>
      <w:r w:rsidR="00C42A67">
        <w:rPr>
          <w:lang w:val="en-US"/>
        </w:rPr>
        <w:t>2014</w:t>
      </w:r>
      <w:r w:rsidRPr="001240D3">
        <w:rPr>
          <w:lang w:val="en-US"/>
        </w:rPr>
        <w:t>.</w:t>
      </w:r>
    </w:p>
    <w:p w14:paraId="7AB31092" w14:textId="2D62069F" w:rsidR="006938C9" w:rsidRPr="001240D3" w:rsidRDefault="006938C9" w:rsidP="001240D3">
      <w:pPr>
        <w:pStyle w:val="ListParagraph"/>
        <w:numPr>
          <w:ilvl w:val="0"/>
          <w:numId w:val="7"/>
        </w:numPr>
        <w:jc w:val="both"/>
        <w:rPr>
          <w:lang w:val="en-US"/>
        </w:rPr>
      </w:pPr>
      <w:r>
        <w:rPr>
          <w:lang w:val="en-US"/>
        </w:rPr>
        <w:t xml:space="preserve">Statement regarding whether these policies are mandatory or guidelines or a combination of both (eg allow some discretion for local or unique treatment where the </w:t>
      </w:r>
      <w:r w:rsidR="00AF3E2F">
        <w:rPr>
          <w:lang w:val="en-US"/>
        </w:rPr>
        <w:t>policy or procedure will not cover the situation</w:t>
      </w:r>
      <w:r w:rsidR="00C3262C">
        <w:rPr>
          <w:lang w:val="en-US"/>
        </w:rPr>
        <w:t>. Who do you speak to when you are not clear on treatment or process (eg AGD, Accounting Policy Department)</w:t>
      </w:r>
    </w:p>
    <w:p w14:paraId="3B9815DB" w14:textId="2552E1D2" w:rsidR="00CB050D" w:rsidRPr="001240D3" w:rsidRDefault="001240D3" w:rsidP="001240D3">
      <w:pPr>
        <w:pStyle w:val="ListParagraph"/>
        <w:numPr>
          <w:ilvl w:val="0"/>
          <w:numId w:val="7"/>
        </w:numPr>
        <w:jc w:val="both"/>
        <w:rPr>
          <w:lang w:val="en-US"/>
        </w:rPr>
      </w:pPr>
      <w:r w:rsidRPr="001240D3">
        <w:rPr>
          <w:lang w:val="en-US"/>
        </w:rPr>
        <w:t>Defin</w:t>
      </w:r>
      <w:r w:rsidR="006938C9">
        <w:rPr>
          <w:lang w:val="en-US"/>
        </w:rPr>
        <w:t>ition of non-financial assets (</w:t>
      </w:r>
      <w:r w:rsidRPr="001240D3">
        <w:rPr>
          <w:lang w:val="en-US"/>
        </w:rPr>
        <w:t>this could also be broken down into a more typical IPSAS format eg Property, Plant and Equipment, Intangible Assets</w:t>
      </w:r>
      <w:r w:rsidR="00AF3E2F">
        <w:rPr>
          <w:lang w:val="en-US"/>
        </w:rPr>
        <w:t>)</w:t>
      </w:r>
      <w:r w:rsidRPr="001240D3">
        <w:rPr>
          <w:lang w:val="en-US"/>
        </w:rPr>
        <w:t xml:space="preserve">.   </w:t>
      </w:r>
    </w:p>
    <w:p w14:paraId="7D0AEF39" w14:textId="2F7A9CC3" w:rsidR="001240D3" w:rsidRPr="001240D3" w:rsidRDefault="001240D3" w:rsidP="001240D3">
      <w:pPr>
        <w:pStyle w:val="ListParagraph"/>
        <w:numPr>
          <w:ilvl w:val="0"/>
          <w:numId w:val="7"/>
        </w:numPr>
        <w:jc w:val="both"/>
        <w:rPr>
          <w:lang w:val="en-US"/>
        </w:rPr>
      </w:pPr>
      <w:r w:rsidRPr="001240D3">
        <w:rPr>
          <w:lang w:val="en-US"/>
        </w:rPr>
        <w:t>Scope of assets included in this instruction – (the CoA maybe a good starting point)</w:t>
      </w:r>
      <w:r w:rsidR="00C3262C">
        <w:rPr>
          <w:lang w:val="en-US"/>
        </w:rPr>
        <w:t xml:space="preserve">. Some countries may choose to not include some assets on a transitional arrangement – or special treatment will apply to those assets (eg land, subsoil assets) </w:t>
      </w:r>
    </w:p>
    <w:p w14:paraId="2DE4E2F4" w14:textId="1BCE0B78" w:rsidR="001240D3" w:rsidRPr="001240D3" w:rsidRDefault="001240D3" w:rsidP="001240D3">
      <w:pPr>
        <w:pStyle w:val="ListParagraph"/>
        <w:numPr>
          <w:ilvl w:val="0"/>
          <w:numId w:val="7"/>
        </w:numPr>
        <w:jc w:val="both"/>
        <w:rPr>
          <w:lang w:val="en-US"/>
        </w:rPr>
      </w:pPr>
      <w:r w:rsidRPr="001240D3">
        <w:rPr>
          <w:lang w:val="en-US"/>
        </w:rPr>
        <w:t xml:space="preserve">Control of NFAs. Particularly important if some assets are controlled centrally, such as land and buildings, while others are controlled in line ministries). The issue of which </w:t>
      </w:r>
      <w:r w:rsidR="00A040C4">
        <w:rPr>
          <w:lang w:val="en-US"/>
        </w:rPr>
        <w:t>entity/</w:t>
      </w:r>
      <w:r w:rsidRPr="001240D3">
        <w:rPr>
          <w:lang w:val="en-US"/>
        </w:rPr>
        <w:t>government controls and reports assets could also be addressed here.</w:t>
      </w:r>
    </w:p>
    <w:p w14:paraId="3BB7DE7A" w14:textId="243E7B0A" w:rsidR="001240D3" w:rsidRDefault="001240D3" w:rsidP="001240D3">
      <w:pPr>
        <w:pStyle w:val="ListParagraph"/>
        <w:numPr>
          <w:ilvl w:val="0"/>
          <w:numId w:val="7"/>
        </w:numPr>
        <w:jc w:val="both"/>
        <w:rPr>
          <w:lang w:val="en-US"/>
        </w:rPr>
      </w:pPr>
      <w:r>
        <w:rPr>
          <w:lang w:val="en-US"/>
        </w:rPr>
        <w:t>Guidelines for maintenance of the Assets Register(s)</w:t>
      </w:r>
      <w:r w:rsidR="00AF3E2F">
        <w:rPr>
          <w:lang w:val="en-US"/>
        </w:rPr>
        <w:t xml:space="preserve"> and determining opening balances</w:t>
      </w:r>
    </w:p>
    <w:p w14:paraId="0BF60555" w14:textId="54A8305B" w:rsidR="001240D3" w:rsidRDefault="001240D3" w:rsidP="001240D3">
      <w:pPr>
        <w:pStyle w:val="ListParagraph"/>
        <w:numPr>
          <w:ilvl w:val="1"/>
          <w:numId w:val="7"/>
        </w:numPr>
        <w:jc w:val="both"/>
        <w:rPr>
          <w:lang w:val="en-US"/>
        </w:rPr>
      </w:pPr>
      <w:r>
        <w:rPr>
          <w:lang w:val="en-US"/>
        </w:rPr>
        <w:t>New acquisitions</w:t>
      </w:r>
    </w:p>
    <w:p w14:paraId="006ABF58" w14:textId="1A3B4A6B" w:rsidR="001240D3" w:rsidRDefault="001240D3" w:rsidP="001240D3">
      <w:pPr>
        <w:pStyle w:val="ListParagraph"/>
        <w:numPr>
          <w:ilvl w:val="2"/>
          <w:numId w:val="7"/>
        </w:numPr>
        <w:jc w:val="both"/>
        <w:rPr>
          <w:lang w:val="en-US"/>
        </w:rPr>
      </w:pPr>
      <w:r>
        <w:rPr>
          <w:lang w:val="en-US"/>
        </w:rPr>
        <w:t>purchase</w:t>
      </w:r>
    </w:p>
    <w:p w14:paraId="7C94B847" w14:textId="77B58A27" w:rsidR="001240D3" w:rsidRDefault="00A040C4" w:rsidP="001240D3">
      <w:pPr>
        <w:pStyle w:val="ListParagraph"/>
        <w:numPr>
          <w:ilvl w:val="2"/>
          <w:numId w:val="7"/>
        </w:numPr>
        <w:jc w:val="both"/>
        <w:rPr>
          <w:lang w:val="en-US"/>
        </w:rPr>
      </w:pPr>
      <w:r>
        <w:rPr>
          <w:lang w:val="en-US"/>
        </w:rPr>
        <w:t xml:space="preserve">government built assets including treatment for partial completion at the end of the accounting period </w:t>
      </w:r>
    </w:p>
    <w:p w14:paraId="40DA82C2" w14:textId="70449427" w:rsidR="001240D3" w:rsidRDefault="001240D3" w:rsidP="001240D3">
      <w:pPr>
        <w:pStyle w:val="ListParagraph"/>
        <w:numPr>
          <w:ilvl w:val="2"/>
          <w:numId w:val="7"/>
        </w:numPr>
        <w:jc w:val="both"/>
        <w:rPr>
          <w:lang w:val="en-US"/>
        </w:rPr>
      </w:pPr>
      <w:r>
        <w:rPr>
          <w:lang w:val="en-US"/>
        </w:rPr>
        <w:t>transfer</w:t>
      </w:r>
      <w:r w:rsidR="00C42A67">
        <w:rPr>
          <w:lang w:val="en-US"/>
        </w:rPr>
        <w:t xml:space="preserve"> including valuation of assets transferred which are not new </w:t>
      </w:r>
    </w:p>
    <w:p w14:paraId="6A9CC4CF" w14:textId="6CB20D9F" w:rsidR="00AF3E2F" w:rsidRDefault="00AF3E2F" w:rsidP="00AF3E2F">
      <w:pPr>
        <w:pStyle w:val="ListParagraph"/>
        <w:numPr>
          <w:ilvl w:val="1"/>
          <w:numId w:val="7"/>
        </w:numPr>
        <w:jc w:val="both"/>
        <w:rPr>
          <w:lang w:val="en-US"/>
        </w:rPr>
      </w:pPr>
      <w:r>
        <w:rPr>
          <w:lang w:val="en-US"/>
        </w:rPr>
        <w:t xml:space="preserve">Details on the information to be recorded in the assets register (attached forms)  </w:t>
      </w:r>
    </w:p>
    <w:p w14:paraId="196161C3" w14:textId="0C030328" w:rsidR="006938C9" w:rsidRDefault="006938C9" w:rsidP="001240D3">
      <w:pPr>
        <w:pStyle w:val="ListParagraph"/>
        <w:numPr>
          <w:ilvl w:val="1"/>
          <w:numId w:val="7"/>
        </w:numPr>
        <w:jc w:val="both"/>
        <w:rPr>
          <w:lang w:val="en-US"/>
        </w:rPr>
      </w:pPr>
      <w:r>
        <w:rPr>
          <w:lang w:val="en-US"/>
        </w:rPr>
        <w:t>Depreciation – would include a table on proposed method of depreciation and periods for depreciation</w:t>
      </w:r>
      <w:r w:rsidR="00AF3E2F">
        <w:rPr>
          <w:lang w:val="en-US"/>
        </w:rPr>
        <w:t xml:space="preserve"> for classes/subclasses</w:t>
      </w:r>
    </w:p>
    <w:p w14:paraId="52C2D141" w14:textId="62DE860C" w:rsidR="001240D3" w:rsidRDefault="001240D3" w:rsidP="001240D3">
      <w:pPr>
        <w:pStyle w:val="ListParagraph"/>
        <w:numPr>
          <w:ilvl w:val="1"/>
          <w:numId w:val="7"/>
        </w:numPr>
        <w:jc w:val="both"/>
        <w:rPr>
          <w:lang w:val="en-US"/>
        </w:rPr>
      </w:pPr>
      <w:r>
        <w:rPr>
          <w:lang w:val="en-US"/>
        </w:rPr>
        <w:t>Revaluation</w:t>
      </w:r>
    </w:p>
    <w:p w14:paraId="1C5CC274" w14:textId="0291C5AD" w:rsidR="0014132F" w:rsidRDefault="0014132F" w:rsidP="0014132F">
      <w:pPr>
        <w:pStyle w:val="ListParagraph"/>
        <w:numPr>
          <w:ilvl w:val="2"/>
          <w:numId w:val="7"/>
        </w:numPr>
        <w:jc w:val="both"/>
        <w:rPr>
          <w:lang w:val="en-US"/>
        </w:rPr>
      </w:pPr>
      <w:r>
        <w:rPr>
          <w:lang w:val="en-US"/>
        </w:rPr>
        <w:t>General guidance</w:t>
      </w:r>
    </w:p>
    <w:p w14:paraId="2577DE24" w14:textId="5AC444F6" w:rsidR="0014132F" w:rsidRDefault="0014132F" w:rsidP="0014132F">
      <w:pPr>
        <w:pStyle w:val="ListParagraph"/>
        <w:numPr>
          <w:ilvl w:val="2"/>
          <w:numId w:val="7"/>
        </w:numPr>
        <w:jc w:val="both"/>
        <w:rPr>
          <w:lang w:val="en-US"/>
        </w:rPr>
      </w:pPr>
      <w:r>
        <w:rPr>
          <w:lang w:val="en-US"/>
        </w:rPr>
        <w:t xml:space="preserve">Revaluation of assets </w:t>
      </w:r>
      <w:r w:rsidR="00A040C4">
        <w:rPr>
          <w:lang w:val="en-US"/>
        </w:rPr>
        <w:t>–</w:t>
      </w:r>
      <w:r>
        <w:rPr>
          <w:lang w:val="en-US"/>
        </w:rPr>
        <w:t xml:space="preserve"> </w:t>
      </w:r>
      <w:r w:rsidR="00A040C4">
        <w:rPr>
          <w:lang w:val="en-US"/>
        </w:rPr>
        <w:t xml:space="preserve">what happens when the </w:t>
      </w:r>
      <w:r>
        <w:rPr>
          <w:lang w:val="en-US"/>
        </w:rPr>
        <w:t xml:space="preserve">depreciation rate is not </w:t>
      </w:r>
      <w:r w:rsidR="00A040C4">
        <w:rPr>
          <w:lang w:val="en-US"/>
        </w:rPr>
        <w:t>consistent with its useful life?</w:t>
      </w:r>
    </w:p>
    <w:p w14:paraId="2A34BFEB" w14:textId="64EF813E" w:rsidR="001240D3" w:rsidRDefault="001240D3" w:rsidP="001240D3">
      <w:pPr>
        <w:pStyle w:val="ListParagraph"/>
        <w:numPr>
          <w:ilvl w:val="1"/>
          <w:numId w:val="7"/>
        </w:numPr>
        <w:jc w:val="both"/>
        <w:rPr>
          <w:lang w:val="en-US"/>
        </w:rPr>
      </w:pPr>
      <w:r>
        <w:rPr>
          <w:lang w:val="en-US"/>
        </w:rPr>
        <w:t>Impairment</w:t>
      </w:r>
    </w:p>
    <w:p w14:paraId="097C7E51" w14:textId="77777777" w:rsidR="001240D3" w:rsidRDefault="001240D3" w:rsidP="001240D3">
      <w:pPr>
        <w:pStyle w:val="ListParagraph"/>
        <w:numPr>
          <w:ilvl w:val="1"/>
          <w:numId w:val="7"/>
        </w:numPr>
        <w:jc w:val="both"/>
        <w:rPr>
          <w:lang w:val="en-US"/>
        </w:rPr>
      </w:pPr>
      <w:r>
        <w:rPr>
          <w:lang w:val="en-US"/>
        </w:rPr>
        <w:t>Disposal</w:t>
      </w:r>
    </w:p>
    <w:p w14:paraId="3D82AD69" w14:textId="70077AAB" w:rsidR="001240D3" w:rsidRDefault="006938C9" w:rsidP="006938C9">
      <w:pPr>
        <w:pStyle w:val="ListParagraph"/>
        <w:numPr>
          <w:ilvl w:val="2"/>
          <w:numId w:val="7"/>
        </w:numPr>
        <w:jc w:val="both"/>
        <w:rPr>
          <w:lang w:val="en-US"/>
        </w:rPr>
      </w:pPr>
      <w:r>
        <w:rPr>
          <w:lang w:val="en-US"/>
        </w:rPr>
        <w:t>By sale</w:t>
      </w:r>
    </w:p>
    <w:p w14:paraId="653962F7" w14:textId="69486E7D" w:rsidR="006938C9" w:rsidRDefault="006938C9" w:rsidP="001240D3">
      <w:pPr>
        <w:pStyle w:val="ListParagraph"/>
        <w:numPr>
          <w:ilvl w:val="2"/>
          <w:numId w:val="7"/>
        </w:numPr>
        <w:jc w:val="both"/>
        <w:rPr>
          <w:lang w:val="en-US"/>
        </w:rPr>
      </w:pPr>
      <w:r>
        <w:rPr>
          <w:lang w:val="en-US"/>
        </w:rPr>
        <w:t>By transfer</w:t>
      </w:r>
    </w:p>
    <w:p w14:paraId="3A65AA70" w14:textId="38E8D757" w:rsidR="006938C9" w:rsidRDefault="006938C9" w:rsidP="001240D3">
      <w:pPr>
        <w:pStyle w:val="ListParagraph"/>
        <w:numPr>
          <w:ilvl w:val="2"/>
          <w:numId w:val="7"/>
        </w:numPr>
        <w:jc w:val="both"/>
        <w:rPr>
          <w:lang w:val="en-US"/>
        </w:rPr>
      </w:pPr>
      <w:r>
        <w:rPr>
          <w:lang w:val="en-US"/>
        </w:rPr>
        <w:t>Writing off</w:t>
      </w:r>
      <w:r w:rsidR="00C42A67">
        <w:rPr>
          <w:lang w:val="en-US"/>
        </w:rPr>
        <w:t xml:space="preserve"> the asset as it is no longer serviceable or fully impaired</w:t>
      </w:r>
    </w:p>
    <w:p w14:paraId="21140DC7" w14:textId="77777777" w:rsidR="006938C9" w:rsidRDefault="006938C9" w:rsidP="006938C9">
      <w:pPr>
        <w:pStyle w:val="ListParagraph"/>
        <w:ind w:left="1080"/>
        <w:jc w:val="both"/>
        <w:rPr>
          <w:lang w:val="en-US"/>
        </w:rPr>
      </w:pPr>
    </w:p>
    <w:p w14:paraId="3716EC8B" w14:textId="395022EE" w:rsidR="006938C9" w:rsidRDefault="006938C9" w:rsidP="006938C9">
      <w:pPr>
        <w:pStyle w:val="ListParagraph"/>
        <w:numPr>
          <w:ilvl w:val="0"/>
          <w:numId w:val="7"/>
        </w:numPr>
        <w:jc w:val="both"/>
        <w:rPr>
          <w:lang w:val="en-US"/>
        </w:rPr>
      </w:pPr>
      <w:r>
        <w:rPr>
          <w:lang w:val="en-US"/>
        </w:rPr>
        <w:t xml:space="preserve">Annual </w:t>
      </w:r>
      <w:r w:rsidR="00563A6A">
        <w:rPr>
          <w:lang w:val="en-US"/>
        </w:rPr>
        <w:t>Stock-take</w:t>
      </w:r>
    </w:p>
    <w:p w14:paraId="5195E906" w14:textId="26C45401" w:rsidR="006938C9" w:rsidRDefault="006938C9" w:rsidP="006938C9">
      <w:pPr>
        <w:pStyle w:val="ListParagraph"/>
        <w:numPr>
          <w:ilvl w:val="1"/>
          <w:numId w:val="7"/>
        </w:numPr>
        <w:jc w:val="both"/>
        <w:rPr>
          <w:lang w:val="en-US"/>
        </w:rPr>
      </w:pPr>
      <w:r>
        <w:rPr>
          <w:lang w:val="en-US"/>
        </w:rPr>
        <w:t xml:space="preserve">Guidelines for undertaking </w:t>
      </w:r>
      <w:r w:rsidR="00563A6A">
        <w:rPr>
          <w:lang w:val="en-US"/>
        </w:rPr>
        <w:t>stock-take</w:t>
      </w:r>
    </w:p>
    <w:p w14:paraId="4382B1DA" w14:textId="1DC2FCAF" w:rsidR="006938C9" w:rsidRDefault="006938C9" w:rsidP="006938C9">
      <w:pPr>
        <w:pStyle w:val="ListParagraph"/>
        <w:numPr>
          <w:ilvl w:val="1"/>
          <w:numId w:val="7"/>
        </w:numPr>
        <w:jc w:val="both"/>
        <w:rPr>
          <w:lang w:val="en-US"/>
        </w:rPr>
      </w:pPr>
      <w:r>
        <w:rPr>
          <w:lang w:val="en-US"/>
        </w:rPr>
        <w:t>Frequency (perhaps different for different types of assets)</w:t>
      </w:r>
    </w:p>
    <w:p w14:paraId="18D408E6" w14:textId="253EB1E8" w:rsidR="006938C9" w:rsidRDefault="006938C9" w:rsidP="006938C9">
      <w:pPr>
        <w:pStyle w:val="ListParagraph"/>
        <w:numPr>
          <w:ilvl w:val="1"/>
          <w:numId w:val="7"/>
        </w:numPr>
        <w:jc w:val="both"/>
        <w:rPr>
          <w:lang w:val="en-US"/>
        </w:rPr>
      </w:pPr>
      <w:r>
        <w:rPr>
          <w:lang w:val="en-US"/>
        </w:rPr>
        <w:t>Issues which must be recorded and reported</w:t>
      </w:r>
      <w:r w:rsidR="00C3262C">
        <w:rPr>
          <w:lang w:val="en-US"/>
        </w:rPr>
        <w:t xml:space="preserve"> (systemic, impairment issues which must apply across the class</w:t>
      </w:r>
      <w:r w:rsidR="00A040C4">
        <w:rPr>
          <w:lang w:val="en-US"/>
        </w:rPr>
        <w:t>, losses, fraud, mismanagement</w:t>
      </w:r>
      <w:r w:rsidR="00C3262C">
        <w:rPr>
          <w:lang w:val="en-US"/>
        </w:rPr>
        <w:t>)</w:t>
      </w:r>
    </w:p>
    <w:p w14:paraId="5C647BE5" w14:textId="069ECFAA" w:rsidR="006938C9" w:rsidRDefault="006938C9" w:rsidP="006938C9">
      <w:pPr>
        <w:pStyle w:val="ListParagraph"/>
        <w:numPr>
          <w:ilvl w:val="0"/>
          <w:numId w:val="7"/>
        </w:numPr>
        <w:jc w:val="both"/>
        <w:rPr>
          <w:lang w:val="en-US"/>
        </w:rPr>
      </w:pPr>
      <w:r>
        <w:rPr>
          <w:lang w:val="en-US"/>
        </w:rPr>
        <w:t>Thresholds for recognizing non-financial assets</w:t>
      </w:r>
    </w:p>
    <w:p w14:paraId="6D9A80AD" w14:textId="30379ECA" w:rsidR="006938C9" w:rsidRDefault="006938C9" w:rsidP="006938C9">
      <w:pPr>
        <w:pStyle w:val="ListParagraph"/>
        <w:numPr>
          <w:ilvl w:val="1"/>
          <w:numId w:val="7"/>
        </w:numPr>
        <w:jc w:val="both"/>
        <w:rPr>
          <w:lang w:val="en-US"/>
        </w:rPr>
      </w:pPr>
      <w:r>
        <w:rPr>
          <w:lang w:val="en-US"/>
        </w:rPr>
        <w:t>Why have a threshold and the accounting and budgeting implications of expensing certain assets</w:t>
      </w:r>
    </w:p>
    <w:p w14:paraId="159150CD" w14:textId="7D8EBE1E" w:rsidR="006938C9" w:rsidRDefault="006938C9" w:rsidP="006938C9">
      <w:pPr>
        <w:pStyle w:val="ListParagraph"/>
        <w:numPr>
          <w:ilvl w:val="1"/>
          <w:numId w:val="7"/>
        </w:numPr>
        <w:jc w:val="both"/>
        <w:rPr>
          <w:lang w:val="en-US"/>
        </w:rPr>
      </w:pPr>
      <w:r>
        <w:rPr>
          <w:lang w:val="en-US"/>
        </w:rPr>
        <w:t>New assets</w:t>
      </w:r>
    </w:p>
    <w:p w14:paraId="713BC641" w14:textId="42A16F24" w:rsidR="00A040C4" w:rsidRDefault="00A040C4" w:rsidP="006938C9">
      <w:pPr>
        <w:pStyle w:val="ListParagraph"/>
        <w:numPr>
          <w:ilvl w:val="1"/>
          <w:numId w:val="7"/>
        </w:numPr>
        <w:jc w:val="both"/>
        <w:rPr>
          <w:lang w:val="en-US"/>
        </w:rPr>
      </w:pPr>
      <w:r>
        <w:rPr>
          <w:lang w:val="en-US"/>
        </w:rPr>
        <w:t>Government built assets</w:t>
      </w:r>
    </w:p>
    <w:p w14:paraId="0722781A" w14:textId="39504968" w:rsidR="006938C9" w:rsidRDefault="006938C9" w:rsidP="006938C9">
      <w:pPr>
        <w:pStyle w:val="ListParagraph"/>
        <w:numPr>
          <w:ilvl w:val="1"/>
          <w:numId w:val="7"/>
        </w:numPr>
        <w:jc w:val="both"/>
        <w:rPr>
          <w:lang w:val="en-US"/>
        </w:rPr>
      </w:pPr>
      <w:r>
        <w:rPr>
          <w:lang w:val="en-US"/>
        </w:rPr>
        <w:t>Capital repairs</w:t>
      </w:r>
    </w:p>
    <w:p w14:paraId="0032D634" w14:textId="740136A6" w:rsidR="006938C9" w:rsidRDefault="006938C9" w:rsidP="006938C9">
      <w:pPr>
        <w:pStyle w:val="ListParagraph"/>
        <w:numPr>
          <w:ilvl w:val="1"/>
          <w:numId w:val="7"/>
        </w:numPr>
        <w:jc w:val="both"/>
        <w:rPr>
          <w:lang w:val="en-US"/>
        </w:rPr>
      </w:pPr>
      <w:r>
        <w:rPr>
          <w:lang w:val="en-US"/>
        </w:rPr>
        <w:t>Grouping of assets (which may make them material)</w:t>
      </w:r>
    </w:p>
    <w:p w14:paraId="60D385D2" w14:textId="79FD8AC0" w:rsidR="006938C9" w:rsidRDefault="006938C9" w:rsidP="006938C9">
      <w:pPr>
        <w:pStyle w:val="ListParagraph"/>
        <w:numPr>
          <w:ilvl w:val="0"/>
          <w:numId w:val="7"/>
        </w:numPr>
        <w:jc w:val="both"/>
        <w:rPr>
          <w:lang w:val="en-US"/>
        </w:rPr>
      </w:pPr>
      <w:r>
        <w:rPr>
          <w:lang w:val="en-US"/>
        </w:rPr>
        <w:t>Revaluation Policies</w:t>
      </w:r>
    </w:p>
    <w:p w14:paraId="2DC1AC58" w14:textId="0EC0DF57" w:rsidR="006938C9" w:rsidRDefault="006938C9" w:rsidP="006938C9">
      <w:pPr>
        <w:pStyle w:val="ListParagraph"/>
        <w:numPr>
          <w:ilvl w:val="0"/>
          <w:numId w:val="7"/>
        </w:numPr>
        <w:jc w:val="both"/>
        <w:rPr>
          <w:lang w:val="en-US"/>
        </w:rPr>
      </w:pPr>
      <w:r>
        <w:rPr>
          <w:lang w:val="en-US"/>
        </w:rPr>
        <w:t>Impairment Policies</w:t>
      </w:r>
    </w:p>
    <w:p w14:paraId="1078BA4C" w14:textId="2D363AF2" w:rsidR="006938C9" w:rsidRDefault="006938C9" w:rsidP="006938C9">
      <w:pPr>
        <w:pStyle w:val="ListParagraph"/>
        <w:numPr>
          <w:ilvl w:val="0"/>
          <w:numId w:val="7"/>
        </w:numPr>
        <w:jc w:val="both"/>
        <w:rPr>
          <w:lang w:val="en-US"/>
        </w:rPr>
      </w:pPr>
      <w:r>
        <w:rPr>
          <w:lang w:val="en-US"/>
        </w:rPr>
        <w:t>Componentisation Policies</w:t>
      </w:r>
    </w:p>
    <w:p w14:paraId="70EE1878" w14:textId="77777777" w:rsidR="00AF3E2F" w:rsidRDefault="006938C9" w:rsidP="006938C9">
      <w:pPr>
        <w:pStyle w:val="ListParagraph"/>
        <w:numPr>
          <w:ilvl w:val="0"/>
          <w:numId w:val="7"/>
        </w:numPr>
        <w:jc w:val="both"/>
        <w:rPr>
          <w:lang w:val="en-US"/>
        </w:rPr>
      </w:pPr>
      <w:r>
        <w:rPr>
          <w:lang w:val="en-US"/>
        </w:rPr>
        <w:t>Write-off and losses to be reported and independently reviewed for systemic issues or breaches of obligations of office</w:t>
      </w:r>
    </w:p>
    <w:p w14:paraId="31448886" w14:textId="6735436D" w:rsidR="006938C9" w:rsidRDefault="00AF3E2F" w:rsidP="006938C9">
      <w:pPr>
        <w:pStyle w:val="ListParagraph"/>
        <w:numPr>
          <w:ilvl w:val="0"/>
          <w:numId w:val="7"/>
        </w:numPr>
        <w:jc w:val="both"/>
        <w:rPr>
          <w:lang w:val="en-US"/>
        </w:rPr>
      </w:pPr>
      <w:r>
        <w:rPr>
          <w:lang w:val="en-US"/>
        </w:rPr>
        <w:t>Intangible Assets</w:t>
      </w:r>
      <w:r w:rsidR="006938C9">
        <w:rPr>
          <w:lang w:val="en-US"/>
        </w:rPr>
        <w:t xml:space="preserve"> </w:t>
      </w:r>
    </w:p>
    <w:p w14:paraId="028FA14C" w14:textId="72959E7D" w:rsidR="006938C9" w:rsidRDefault="00AF3E2F" w:rsidP="006938C9">
      <w:pPr>
        <w:pStyle w:val="ListParagraph"/>
        <w:numPr>
          <w:ilvl w:val="0"/>
          <w:numId w:val="7"/>
        </w:numPr>
        <w:jc w:val="both"/>
        <w:rPr>
          <w:lang w:val="en-US"/>
        </w:rPr>
      </w:pPr>
      <w:r>
        <w:rPr>
          <w:lang w:val="en-US"/>
        </w:rPr>
        <w:t>Military Equipment</w:t>
      </w:r>
    </w:p>
    <w:p w14:paraId="579A0111" w14:textId="5D9A83A7" w:rsidR="00DB0E88" w:rsidRDefault="00C42A67" w:rsidP="006938C9">
      <w:pPr>
        <w:pStyle w:val="ListParagraph"/>
        <w:numPr>
          <w:ilvl w:val="0"/>
          <w:numId w:val="7"/>
        </w:numPr>
        <w:jc w:val="both"/>
        <w:rPr>
          <w:lang w:val="en-US"/>
        </w:rPr>
      </w:pPr>
      <w:r>
        <w:rPr>
          <w:lang w:val="en-US"/>
        </w:rPr>
        <w:t>Inventory</w:t>
      </w:r>
    </w:p>
    <w:p w14:paraId="0BB97A95" w14:textId="77777777" w:rsidR="00DB0E88" w:rsidRDefault="00DB0E88">
      <w:pPr>
        <w:rPr>
          <w:lang w:val="en-US"/>
        </w:rPr>
      </w:pPr>
      <w:r>
        <w:rPr>
          <w:lang w:val="en-US"/>
        </w:rPr>
        <w:lastRenderedPageBreak/>
        <w:br w:type="page"/>
      </w:r>
    </w:p>
    <w:p w14:paraId="6E75F585" w14:textId="724AD05A" w:rsidR="00C25949" w:rsidRPr="00D3374B" w:rsidRDefault="00C25949" w:rsidP="00C25949">
      <w:pPr>
        <w:jc w:val="center"/>
        <w:rPr>
          <w:b/>
          <w:lang w:val="en-US"/>
        </w:rPr>
      </w:pPr>
      <w:r w:rsidRPr="00D3374B">
        <w:rPr>
          <w:b/>
          <w:lang w:val="en-US"/>
        </w:rPr>
        <w:lastRenderedPageBreak/>
        <w:t>Appendix B – List of Respondents</w:t>
      </w:r>
    </w:p>
    <w:p w14:paraId="0310EDEE" w14:textId="77777777" w:rsidR="00C25949" w:rsidRPr="00D3374B" w:rsidRDefault="00C25949" w:rsidP="00C25949">
      <w:pPr>
        <w:jc w:val="center"/>
        <w:rPr>
          <w:b/>
          <w:lang w:val="en-US"/>
        </w:rPr>
      </w:pPr>
    </w:p>
    <w:p w14:paraId="664C0A68" w14:textId="6AA66F2E" w:rsidR="00C25949" w:rsidRPr="00D3374B" w:rsidRDefault="00C25949" w:rsidP="00C25949">
      <w:pPr>
        <w:spacing w:line="360" w:lineRule="auto"/>
        <w:rPr>
          <w:rStyle w:val="notranslate"/>
          <w:b/>
          <w:u w:val="single"/>
          <w:lang w:val="en-US"/>
        </w:rPr>
      </w:pPr>
    </w:p>
    <w:tbl>
      <w:tblPr>
        <w:tblStyle w:val="TableGrid"/>
        <w:tblW w:w="0" w:type="auto"/>
        <w:tblLook w:val="04A0" w:firstRow="1" w:lastRow="0" w:firstColumn="1" w:lastColumn="0" w:noHBand="0" w:noVBand="1"/>
      </w:tblPr>
      <w:tblGrid>
        <w:gridCol w:w="2235"/>
        <w:gridCol w:w="2268"/>
        <w:gridCol w:w="4536"/>
      </w:tblGrid>
      <w:tr w:rsidR="00C25949" w:rsidRPr="00D3374B" w14:paraId="31DBFEDC" w14:textId="77777777" w:rsidTr="00C25949">
        <w:trPr>
          <w:trHeight w:val="440"/>
        </w:trPr>
        <w:tc>
          <w:tcPr>
            <w:tcW w:w="2235" w:type="dxa"/>
            <w:shd w:val="clear" w:color="auto" w:fill="DBE5F1" w:themeFill="accent1" w:themeFillTint="33"/>
            <w:vAlign w:val="bottom"/>
          </w:tcPr>
          <w:p w14:paraId="0E383643" w14:textId="77777777" w:rsidR="00C25949" w:rsidRPr="00D3374B" w:rsidRDefault="00C25949" w:rsidP="00C25949">
            <w:pPr>
              <w:spacing w:line="360" w:lineRule="auto"/>
              <w:rPr>
                <w:rStyle w:val="notranslate"/>
                <w:lang w:val="en-US"/>
              </w:rPr>
            </w:pPr>
            <w:r w:rsidRPr="00D3374B">
              <w:rPr>
                <w:rStyle w:val="notranslate"/>
                <w:lang w:val="en-US"/>
              </w:rPr>
              <w:t>Country</w:t>
            </w:r>
          </w:p>
        </w:tc>
        <w:tc>
          <w:tcPr>
            <w:tcW w:w="2268" w:type="dxa"/>
            <w:shd w:val="clear" w:color="auto" w:fill="DBE5F1" w:themeFill="accent1" w:themeFillTint="33"/>
            <w:vAlign w:val="bottom"/>
          </w:tcPr>
          <w:p w14:paraId="1D867332" w14:textId="77777777" w:rsidR="00C25949" w:rsidRPr="00D3374B" w:rsidRDefault="00C25949" w:rsidP="00C25949">
            <w:pPr>
              <w:spacing w:line="360" w:lineRule="auto"/>
              <w:rPr>
                <w:rStyle w:val="notranslate"/>
                <w:lang w:val="en-US"/>
              </w:rPr>
            </w:pPr>
            <w:r w:rsidRPr="00D3374B">
              <w:rPr>
                <w:rStyle w:val="notranslate"/>
                <w:lang w:val="en-US"/>
              </w:rPr>
              <w:t>Full name</w:t>
            </w:r>
          </w:p>
        </w:tc>
        <w:tc>
          <w:tcPr>
            <w:tcW w:w="4536" w:type="dxa"/>
            <w:shd w:val="clear" w:color="auto" w:fill="DBE5F1" w:themeFill="accent1" w:themeFillTint="33"/>
            <w:vAlign w:val="bottom"/>
          </w:tcPr>
          <w:p w14:paraId="49FE0A3F" w14:textId="77777777" w:rsidR="00C25949" w:rsidRPr="00D3374B" w:rsidRDefault="00C25949" w:rsidP="00C25949">
            <w:pPr>
              <w:spacing w:line="360" w:lineRule="auto"/>
              <w:rPr>
                <w:rStyle w:val="notranslate"/>
                <w:lang w:val="en-US"/>
              </w:rPr>
            </w:pPr>
            <w:r w:rsidRPr="00D3374B">
              <w:rPr>
                <w:rStyle w:val="notranslate"/>
                <w:lang w:val="en-US"/>
              </w:rPr>
              <w:t>Title of the respondent</w:t>
            </w:r>
          </w:p>
        </w:tc>
      </w:tr>
      <w:tr w:rsidR="00C25949" w:rsidRPr="00D3374B" w14:paraId="796AFFD8" w14:textId="77777777" w:rsidTr="00C25949">
        <w:tc>
          <w:tcPr>
            <w:tcW w:w="2235" w:type="dxa"/>
            <w:shd w:val="clear" w:color="auto" w:fill="C4BC96" w:themeFill="background2" w:themeFillShade="BF"/>
            <w:vAlign w:val="bottom"/>
          </w:tcPr>
          <w:p w14:paraId="5FCD0DF2" w14:textId="77777777" w:rsidR="00C25949" w:rsidRPr="00D3374B" w:rsidRDefault="00C25949" w:rsidP="00C25949">
            <w:r w:rsidRPr="00D3374B">
              <w:t>Bulgaria</w:t>
            </w:r>
          </w:p>
        </w:tc>
        <w:tc>
          <w:tcPr>
            <w:tcW w:w="2268" w:type="dxa"/>
            <w:vAlign w:val="bottom"/>
          </w:tcPr>
          <w:p w14:paraId="589CD674" w14:textId="77777777" w:rsidR="00C25949" w:rsidRPr="00D3374B" w:rsidRDefault="00C25949" w:rsidP="00C25949">
            <w:pPr>
              <w:rPr>
                <w:lang w:val="en-US"/>
              </w:rPr>
            </w:pPr>
            <w:r w:rsidRPr="00D3374B">
              <w:rPr>
                <w:lang w:val="en-US"/>
              </w:rPr>
              <w:t>Tsvetanka Chipeva</w:t>
            </w:r>
          </w:p>
        </w:tc>
        <w:tc>
          <w:tcPr>
            <w:tcW w:w="4536" w:type="dxa"/>
            <w:vAlign w:val="bottom"/>
          </w:tcPr>
          <w:p w14:paraId="13DBFC4E" w14:textId="77777777" w:rsidR="00C25949" w:rsidRPr="00D3374B" w:rsidRDefault="00C25949" w:rsidP="00C25949">
            <w:pPr>
              <w:rPr>
                <w:lang w:val="en-US"/>
              </w:rPr>
            </w:pPr>
            <w:r w:rsidRPr="00D3374B">
              <w:rPr>
                <w:lang w:val="en-US"/>
              </w:rPr>
              <w:t xml:space="preserve">Head of Division </w:t>
            </w:r>
          </w:p>
        </w:tc>
      </w:tr>
      <w:tr w:rsidR="00C25949" w:rsidRPr="00D3374B" w14:paraId="3392D07A" w14:textId="77777777" w:rsidTr="00C25949">
        <w:tc>
          <w:tcPr>
            <w:tcW w:w="2235" w:type="dxa"/>
            <w:shd w:val="clear" w:color="auto" w:fill="C4BC96" w:themeFill="background2" w:themeFillShade="BF"/>
            <w:vAlign w:val="bottom"/>
          </w:tcPr>
          <w:p w14:paraId="18E5F490" w14:textId="77777777" w:rsidR="00C25949" w:rsidRPr="00D3374B" w:rsidRDefault="00C25949" w:rsidP="00C25949">
            <w:r w:rsidRPr="00D3374B">
              <w:t>Croatia</w:t>
            </w:r>
          </w:p>
        </w:tc>
        <w:tc>
          <w:tcPr>
            <w:tcW w:w="2268" w:type="dxa"/>
            <w:vAlign w:val="bottom"/>
          </w:tcPr>
          <w:p w14:paraId="48E3EBCA" w14:textId="77777777" w:rsidR="00C25949" w:rsidRPr="00D3374B" w:rsidRDefault="00C25949" w:rsidP="00C25949">
            <w:pPr>
              <w:rPr>
                <w:lang w:val="en-US"/>
              </w:rPr>
            </w:pPr>
            <w:r w:rsidRPr="00D3374B">
              <w:t>Renata Marijetic</w:t>
            </w:r>
          </w:p>
        </w:tc>
        <w:tc>
          <w:tcPr>
            <w:tcW w:w="4536" w:type="dxa"/>
            <w:vAlign w:val="bottom"/>
          </w:tcPr>
          <w:p w14:paraId="6AD9760D" w14:textId="23FC8D9C" w:rsidR="00C25949" w:rsidRPr="00D3374B" w:rsidRDefault="00D3374B" w:rsidP="00C25949">
            <w:pPr>
              <w:rPr>
                <w:lang w:val="en-GB"/>
              </w:rPr>
            </w:pPr>
            <w:r>
              <w:rPr>
                <w:lang w:val="en-GB"/>
              </w:rPr>
              <w:t>Senior Advisor</w:t>
            </w:r>
          </w:p>
        </w:tc>
      </w:tr>
      <w:tr w:rsidR="00C25949" w:rsidRPr="00D3374B" w14:paraId="7006B258" w14:textId="77777777" w:rsidTr="00C25949">
        <w:tc>
          <w:tcPr>
            <w:tcW w:w="2235" w:type="dxa"/>
            <w:shd w:val="clear" w:color="auto" w:fill="C4BC96" w:themeFill="background2" w:themeFillShade="BF"/>
            <w:vAlign w:val="bottom"/>
          </w:tcPr>
          <w:p w14:paraId="2254A69F" w14:textId="77777777" w:rsidR="00C25949" w:rsidRPr="00D3374B" w:rsidRDefault="00C25949" w:rsidP="00C25949">
            <w:r w:rsidRPr="00D3374B">
              <w:t>Georgia</w:t>
            </w:r>
          </w:p>
        </w:tc>
        <w:tc>
          <w:tcPr>
            <w:tcW w:w="2268" w:type="dxa"/>
            <w:vAlign w:val="bottom"/>
          </w:tcPr>
          <w:p w14:paraId="2488F47C" w14:textId="77777777" w:rsidR="00C25949" w:rsidRPr="00D3374B" w:rsidRDefault="00C25949" w:rsidP="00C25949">
            <w:r w:rsidRPr="00D3374B">
              <w:rPr>
                <w:lang w:val="en-US"/>
              </w:rPr>
              <w:t>Lela Kurashvili</w:t>
            </w:r>
          </w:p>
        </w:tc>
        <w:tc>
          <w:tcPr>
            <w:tcW w:w="4536" w:type="dxa"/>
            <w:vAlign w:val="bottom"/>
          </w:tcPr>
          <w:p w14:paraId="351800E7" w14:textId="77777777" w:rsidR="00C25949" w:rsidRPr="00D3374B" w:rsidRDefault="00C25949" w:rsidP="00C25949">
            <w:pPr>
              <w:rPr>
                <w:lang w:val="en-US"/>
              </w:rPr>
            </w:pPr>
            <w:r w:rsidRPr="00D3374B">
              <w:rPr>
                <w:lang w:val="en-US"/>
              </w:rPr>
              <w:t>Head of Accounting Methodology Division</w:t>
            </w:r>
          </w:p>
          <w:p w14:paraId="74E77F2C" w14:textId="77777777" w:rsidR="00C25949" w:rsidRPr="00D3374B" w:rsidRDefault="00C25949" w:rsidP="00C25949">
            <w:pPr>
              <w:rPr>
                <w:lang w:val="en-US"/>
              </w:rPr>
            </w:pPr>
          </w:p>
        </w:tc>
      </w:tr>
      <w:tr w:rsidR="00C25949" w:rsidRPr="00D3374B" w14:paraId="2C92E570" w14:textId="77777777" w:rsidTr="00C25949">
        <w:tc>
          <w:tcPr>
            <w:tcW w:w="2235" w:type="dxa"/>
            <w:shd w:val="clear" w:color="auto" w:fill="C4BC96" w:themeFill="background2" w:themeFillShade="BF"/>
            <w:vAlign w:val="bottom"/>
          </w:tcPr>
          <w:p w14:paraId="4BF4C172" w14:textId="77777777" w:rsidR="00C25949" w:rsidRPr="00D3374B" w:rsidRDefault="00C25949" w:rsidP="00C25949">
            <w:r w:rsidRPr="00D3374B">
              <w:t>Kazakhstan</w:t>
            </w:r>
          </w:p>
        </w:tc>
        <w:tc>
          <w:tcPr>
            <w:tcW w:w="2268" w:type="dxa"/>
            <w:vAlign w:val="bottom"/>
          </w:tcPr>
          <w:p w14:paraId="07AE066A" w14:textId="77777777" w:rsidR="00C25949" w:rsidRPr="00D3374B" w:rsidRDefault="00C25949" w:rsidP="00C25949">
            <w:r w:rsidRPr="00D3374B">
              <w:rPr>
                <w:lang w:val="en-US"/>
              </w:rPr>
              <w:t>Zaifun Ernazarova</w:t>
            </w:r>
          </w:p>
        </w:tc>
        <w:tc>
          <w:tcPr>
            <w:tcW w:w="4536" w:type="dxa"/>
            <w:vAlign w:val="bottom"/>
          </w:tcPr>
          <w:p w14:paraId="3A38B560" w14:textId="77777777" w:rsidR="00C25949" w:rsidRPr="00D3374B" w:rsidRDefault="00C25949" w:rsidP="00C25949">
            <w:pPr>
              <w:rPr>
                <w:lang w:val="en-US"/>
              </w:rPr>
            </w:pPr>
            <w:r w:rsidRPr="00D3374B">
              <w:rPr>
                <w:lang w:val="en-US"/>
              </w:rPr>
              <w:t xml:space="preserve">Director of the Budget Process Methodology Department </w:t>
            </w:r>
          </w:p>
        </w:tc>
      </w:tr>
      <w:tr w:rsidR="00C25949" w:rsidRPr="00D3374B" w14:paraId="7F397E8B" w14:textId="77777777" w:rsidTr="00C25949">
        <w:tc>
          <w:tcPr>
            <w:tcW w:w="2235" w:type="dxa"/>
            <w:shd w:val="clear" w:color="auto" w:fill="C4BC96" w:themeFill="background2" w:themeFillShade="BF"/>
            <w:vAlign w:val="bottom"/>
          </w:tcPr>
          <w:p w14:paraId="1A78D10E" w14:textId="77777777" w:rsidR="00C25949" w:rsidRPr="00D3374B" w:rsidRDefault="00C25949" w:rsidP="00C25949">
            <w:r w:rsidRPr="00D3374B">
              <w:t>Makedonija</w:t>
            </w:r>
          </w:p>
        </w:tc>
        <w:tc>
          <w:tcPr>
            <w:tcW w:w="2268" w:type="dxa"/>
            <w:vAlign w:val="bottom"/>
          </w:tcPr>
          <w:p w14:paraId="27F8D7FC" w14:textId="77777777" w:rsidR="00C25949" w:rsidRPr="00D3374B" w:rsidRDefault="00C25949" w:rsidP="00C25949">
            <w:r w:rsidRPr="00D3374B">
              <w:t>Bari Iseni</w:t>
            </w:r>
          </w:p>
        </w:tc>
        <w:tc>
          <w:tcPr>
            <w:tcW w:w="4536" w:type="dxa"/>
            <w:vAlign w:val="bottom"/>
          </w:tcPr>
          <w:p w14:paraId="1082A67B" w14:textId="067DD261" w:rsidR="00C25949" w:rsidRPr="00D3374B" w:rsidRDefault="00D3374B" w:rsidP="00C25949">
            <w:pPr>
              <w:rPr>
                <w:lang w:val="en-US"/>
              </w:rPr>
            </w:pPr>
            <w:r w:rsidRPr="00D3374B">
              <w:rPr>
                <w:color w:val="000000"/>
              </w:rPr>
              <w:t>Head of Budget Accounting Department of the Treasury</w:t>
            </w:r>
          </w:p>
        </w:tc>
      </w:tr>
      <w:tr w:rsidR="00C25949" w:rsidRPr="00D3374B" w14:paraId="4C0FB567" w14:textId="77777777" w:rsidTr="00C25949">
        <w:tc>
          <w:tcPr>
            <w:tcW w:w="2235" w:type="dxa"/>
            <w:shd w:val="clear" w:color="auto" w:fill="C4BC96" w:themeFill="background2" w:themeFillShade="BF"/>
            <w:vAlign w:val="bottom"/>
          </w:tcPr>
          <w:p w14:paraId="5BB88DBC" w14:textId="77777777" w:rsidR="00C25949" w:rsidRPr="00D3374B" w:rsidRDefault="00C25949" w:rsidP="00C25949">
            <w:r w:rsidRPr="00D3374B">
              <w:t>Moldova</w:t>
            </w:r>
          </w:p>
        </w:tc>
        <w:tc>
          <w:tcPr>
            <w:tcW w:w="2268" w:type="dxa"/>
            <w:vAlign w:val="bottom"/>
          </w:tcPr>
          <w:p w14:paraId="52224D39" w14:textId="77777777" w:rsidR="00C25949" w:rsidRPr="00D3374B" w:rsidRDefault="00C25949" w:rsidP="00C25949">
            <w:r w:rsidRPr="00D3374B">
              <w:rPr>
                <w:lang w:val="en-US"/>
              </w:rPr>
              <w:t xml:space="preserve">Nadejda Slova </w:t>
            </w:r>
          </w:p>
        </w:tc>
        <w:tc>
          <w:tcPr>
            <w:tcW w:w="4536" w:type="dxa"/>
            <w:vAlign w:val="bottom"/>
          </w:tcPr>
          <w:p w14:paraId="08F95B14" w14:textId="77777777" w:rsidR="00C25949" w:rsidRPr="00D3374B" w:rsidRDefault="00C25949" w:rsidP="00C25949">
            <w:pPr>
              <w:rPr>
                <w:lang w:val="en-US"/>
              </w:rPr>
            </w:pPr>
            <w:r w:rsidRPr="00D3374B">
              <w:rPr>
                <w:lang w:val="en-US"/>
              </w:rPr>
              <w:t>Head of Reporting Department</w:t>
            </w:r>
          </w:p>
          <w:p w14:paraId="6127B9CC" w14:textId="77777777" w:rsidR="00C25949" w:rsidRPr="00D3374B" w:rsidRDefault="00C25949" w:rsidP="00C25949">
            <w:pPr>
              <w:rPr>
                <w:lang w:val="en-US"/>
              </w:rPr>
            </w:pPr>
          </w:p>
        </w:tc>
      </w:tr>
      <w:tr w:rsidR="00C25949" w:rsidRPr="00D3374B" w14:paraId="743E25D1" w14:textId="77777777" w:rsidTr="00C25949">
        <w:tc>
          <w:tcPr>
            <w:tcW w:w="2235" w:type="dxa"/>
            <w:shd w:val="clear" w:color="auto" w:fill="C4BC96" w:themeFill="background2" w:themeFillShade="BF"/>
            <w:vAlign w:val="bottom"/>
          </w:tcPr>
          <w:p w14:paraId="11AF18A5" w14:textId="77777777" w:rsidR="00C25949" w:rsidRPr="00D3374B" w:rsidRDefault="00C25949" w:rsidP="00C25949">
            <w:r w:rsidRPr="00D3374B">
              <w:t>Montenegro</w:t>
            </w:r>
          </w:p>
        </w:tc>
        <w:tc>
          <w:tcPr>
            <w:tcW w:w="2268" w:type="dxa"/>
            <w:vAlign w:val="bottom"/>
          </w:tcPr>
          <w:p w14:paraId="05513ED2" w14:textId="77777777" w:rsidR="00C25949" w:rsidRPr="00D3374B" w:rsidRDefault="00C25949" w:rsidP="00C25949">
            <w:r w:rsidRPr="00D3374B">
              <w:t>Marija Popović</w:t>
            </w:r>
          </w:p>
        </w:tc>
        <w:tc>
          <w:tcPr>
            <w:tcW w:w="4536" w:type="dxa"/>
            <w:vAlign w:val="bottom"/>
          </w:tcPr>
          <w:p w14:paraId="18E3BFB4" w14:textId="2D351BD1" w:rsidR="00C25949" w:rsidRPr="00D3374B" w:rsidRDefault="00D3374B" w:rsidP="00C25949">
            <w:pPr>
              <w:rPr>
                <w:lang w:val="en-US"/>
              </w:rPr>
            </w:pPr>
            <w:r w:rsidRPr="00D3374B">
              <w:rPr>
                <w:color w:val="000000"/>
              </w:rPr>
              <w:t>Head of Directorate for Accounting Policy of the Ministry of Financ</w:t>
            </w:r>
          </w:p>
        </w:tc>
      </w:tr>
      <w:tr w:rsidR="00C25949" w:rsidRPr="00D3374B" w14:paraId="15B29152" w14:textId="77777777" w:rsidTr="00C25949">
        <w:tc>
          <w:tcPr>
            <w:tcW w:w="2235" w:type="dxa"/>
            <w:shd w:val="clear" w:color="auto" w:fill="C4BC96" w:themeFill="background2" w:themeFillShade="BF"/>
            <w:vAlign w:val="bottom"/>
          </w:tcPr>
          <w:p w14:paraId="0F3DC36E" w14:textId="77777777" w:rsidR="00C25949" w:rsidRPr="00D3374B" w:rsidRDefault="00C25949" w:rsidP="00C25949">
            <w:r w:rsidRPr="00D3374B">
              <w:t>Russia</w:t>
            </w:r>
          </w:p>
        </w:tc>
        <w:tc>
          <w:tcPr>
            <w:tcW w:w="2268" w:type="dxa"/>
            <w:vAlign w:val="bottom"/>
          </w:tcPr>
          <w:p w14:paraId="4F7F1A38" w14:textId="77777777" w:rsidR="00C25949" w:rsidRPr="00D3374B" w:rsidRDefault="00C25949" w:rsidP="00C25949">
            <w:pPr>
              <w:rPr>
                <w:lang w:val="en-US"/>
              </w:rPr>
            </w:pPr>
            <w:r w:rsidRPr="00D3374B">
              <w:rPr>
                <w:lang w:val="en-US"/>
              </w:rPr>
              <w:t>Anton Dubovik,</w:t>
            </w:r>
          </w:p>
        </w:tc>
        <w:tc>
          <w:tcPr>
            <w:tcW w:w="4536" w:type="dxa"/>
            <w:vAlign w:val="bottom"/>
          </w:tcPr>
          <w:p w14:paraId="5A1DA637" w14:textId="77777777" w:rsidR="00C25949" w:rsidRPr="00D3374B" w:rsidRDefault="00C25949" w:rsidP="00C25949">
            <w:pPr>
              <w:rPr>
                <w:lang w:val="en-US"/>
              </w:rPr>
            </w:pPr>
            <w:r w:rsidRPr="00D3374B">
              <w:rPr>
                <w:lang w:val="en-US"/>
              </w:rPr>
              <w:t>Head of Department of Budget Accounting and Reporting, Federal Treasury</w:t>
            </w:r>
          </w:p>
          <w:p w14:paraId="3E7E7DF2" w14:textId="77777777" w:rsidR="00C25949" w:rsidRPr="00D3374B" w:rsidRDefault="00C25949" w:rsidP="00C25949">
            <w:pPr>
              <w:rPr>
                <w:lang w:val="en-US"/>
              </w:rPr>
            </w:pPr>
          </w:p>
        </w:tc>
      </w:tr>
      <w:tr w:rsidR="00C25949" w:rsidRPr="00D3374B" w14:paraId="22885809" w14:textId="77777777" w:rsidTr="00C25949">
        <w:tc>
          <w:tcPr>
            <w:tcW w:w="2235" w:type="dxa"/>
            <w:shd w:val="clear" w:color="auto" w:fill="C4BC96" w:themeFill="background2" w:themeFillShade="BF"/>
            <w:vAlign w:val="bottom"/>
          </w:tcPr>
          <w:p w14:paraId="7E7DB98C" w14:textId="77777777" w:rsidR="00C25949" w:rsidRPr="00D3374B" w:rsidRDefault="00C25949" w:rsidP="00C25949">
            <w:r w:rsidRPr="00D3374B">
              <w:t>Serbia</w:t>
            </w:r>
          </w:p>
        </w:tc>
        <w:tc>
          <w:tcPr>
            <w:tcW w:w="2268" w:type="dxa"/>
            <w:vAlign w:val="bottom"/>
          </w:tcPr>
          <w:p w14:paraId="384429FE" w14:textId="77777777" w:rsidR="00C25949" w:rsidRPr="00D3374B" w:rsidRDefault="00C25949" w:rsidP="00C25949">
            <w:r w:rsidRPr="00D3374B">
              <w:t>Mirjana Pokrajac</w:t>
            </w:r>
          </w:p>
        </w:tc>
        <w:tc>
          <w:tcPr>
            <w:tcW w:w="4536" w:type="dxa"/>
            <w:vAlign w:val="bottom"/>
          </w:tcPr>
          <w:p w14:paraId="2A0BD21C" w14:textId="37323D76" w:rsidR="00C25949" w:rsidRPr="00D3374B" w:rsidRDefault="00D3374B" w:rsidP="00C25949">
            <w:pPr>
              <w:rPr>
                <w:lang w:val="en-US"/>
              </w:rPr>
            </w:pPr>
            <w:r w:rsidRPr="00D3374B">
              <w:rPr>
                <w:color w:val="000000"/>
              </w:rPr>
              <w:t>Assistant Director, Department for Budget Accounting and Reporting</w:t>
            </w:r>
          </w:p>
        </w:tc>
      </w:tr>
      <w:tr w:rsidR="00C25949" w:rsidRPr="00D3374B" w14:paraId="6914732F" w14:textId="77777777" w:rsidTr="00C25949">
        <w:tc>
          <w:tcPr>
            <w:tcW w:w="2235" w:type="dxa"/>
            <w:shd w:val="clear" w:color="auto" w:fill="C4BC96" w:themeFill="background2" w:themeFillShade="BF"/>
            <w:vAlign w:val="bottom"/>
          </w:tcPr>
          <w:p w14:paraId="63A61F45" w14:textId="77777777" w:rsidR="00C25949" w:rsidRPr="00D3374B" w:rsidRDefault="00C25949" w:rsidP="00C25949">
            <w:r w:rsidRPr="00D3374B">
              <w:t>Tajikistan</w:t>
            </w:r>
          </w:p>
        </w:tc>
        <w:tc>
          <w:tcPr>
            <w:tcW w:w="2268" w:type="dxa"/>
            <w:vAlign w:val="bottom"/>
          </w:tcPr>
          <w:p w14:paraId="770A7746" w14:textId="77777777" w:rsidR="00C25949" w:rsidRPr="00D3374B" w:rsidRDefault="00C25949" w:rsidP="00C25949">
            <w:pPr>
              <w:rPr>
                <w:lang w:val="en-US"/>
              </w:rPr>
            </w:pPr>
            <w:r w:rsidRPr="00D3374B">
              <w:rPr>
                <w:lang w:val="en-US"/>
              </w:rPr>
              <w:t>Ismatullo Hakimov</w:t>
            </w:r>
          </w:p>
        </w:tc>
        <w:tc>
          <w:tcPr>
            <w:tcW w:w="4536" w:type="dxa"/>
            <w:vAlign w:val="bottom"/>
          </w:tcPr>
          <w:p w14:paraId="678EB722" w14:textId="77777777" w:rsidR="00C25949" w:rsidRPr="00D3374B" w:rsidRDefault="00C25949" w:rsidP="00C25949">
            <w:pPr>
              <w:rPr>
                <w:lang w:val="en-US"/>
              </w:rPr>
            </w:pPr>
            <w:r w:rsidRPr="00D3374B">
              <w:rPr>
                <w:lang w:val="en-US"/>
              </w:rPr>
              <w:t>First Deputy Director of Main Department, Central Treasury, MoF</w:t>
            </w:r>
          </w:p>
        </w:tc>
      </w:tr>
      <w:tr w:rsidR="00C25949" w:rsidRPr="00D3374B" w14:paraId="6DB7EFE1" w14:textId="77777777" w:rsidTr="00C25949">
        <w:tc>
          <w:tcPr>
            <w:tcW w:w="2235" w:type="dxa"/>
            <w:shd w:val="clear" w:color="auto" w:fill="C4BC96" w:themeFill="background2" w:themeFillShade="BF"/>
            <w:vAlign w:val="bottom"/>
          </w:tcPr>
          <w:p w14:paraId="5093B820" w14:textId="77777777" w:rsidR="00C25949" w:rsidRPr="00D3374B" w:rsidRDefault="00C25949" w:rsidP="00C25949">
            <w:pPr>
              <w:rPr>
                <w:lang w:val="en-US"/>
              </w:rPr>
            </w:pPr>
            <w:r w:rsidRPr="00D3374B">
              <w:rPr>
                <w:lang w:val="en-US"/>
              </w:rPr>
              <w:t>Ukraine</w:t>
            </w:r>
          </w:p>
        </w:tc>
        <w:tc>
          <w:tcPr>
            <w:tcW w:w="2268" w:type="dxa"/>
            <w:vAlign w:val="bottom"/>
          </w:tcPr>
          <w:p w14:paraId="4E0B8C99" w14:textId="77777777" w:rsidR="00C25949" w:rsidRPr="00D3374B" w:rsidRDefault="00C25949" w:rsidP="00C25949">
            <w:pPr>
              <w:rPr>
                <w:lang w:val="en-US"/>
              </w:rPr>
            </w:pPr>
            <w:r w:rsidRPr="00D3374B">
              <w:rPr>
                <w:lang w:val="en-US"/>
              </w:rPr>
              <w:t>Natalia Sushko</w:t>
            </w:r>
          </w:p>
        </w:tc>
        <w:tc>
          <w:tcPr>
            <w:tcW w:w="4536" w:type="dxa"/>
            <w:vAlign w:val="bottom"/>
          </w:tcPr>
          <w:p w14:paraId="2C1DB5C8" w14:textId="77777777" w:rsidR="00C25949" w:rsidRPr="00D3374B" w:rsidRDefault="00C25949" w:rsidP="00C25949">
            <w:pPr>
              <w:rPr>
                <w:lang w:val="en-US"/>
              </w:rPr>
            </w:pPr>
            <w:r w:rsidRPr="00D3374B">
              <w:rPr>
                <w:lang w:val="en-US"/>
              </w:rPr>
              <w:t xml:space="preserve">Director of Directorate of Budget Operation, Accounting and Reporting Methodology in the State Treasury Service of Ukraine </w:t>
            </w:r>
          </w:p>
          <w:p w14:paraId="0AD3783A" w14:textId="77777777" w:rsidR="00C25949" w:rsidRPr="00D3374B" w:rsidRDefault="00C25949" w:rsidP="00C25949">
            <w:pPr>
              <w:rPr>
                <w:lang w:val="en-US"/>
              </w:rPr>
            </w:pPr>
          </w:p>
        </w:tc>
      </w:tr>
      <w:tr w:rsidR="00C25949" w:rsidRPr="00D3374B" w14:paraId="3FBE0D87" w14:textId="77777777" w:rsidTr="00C25949">
        <w:tc>
          <w:tcPr>
            <w:tcW w:w="2235" w:type="dxa"/>
            <w:shd w:val="clear" w:color="auto" w:fill="C4BC96" w:themeFill="background2" w:themeFillShade="BF"/>
            <w:vAlign w:val="bottom"/>
          </w:tcPr>
          <w:p w14:paraId="447A8E63" w14:textId="77777777" w:rsidR="00C25949" w:rsidRPr="00D3374B" w:rsidRDefault="00C25949" w:rsidP="00C25949">
            <w:pPr>
              <w:rPr>
                <w:lang w:val="en-US"/>
              </w:rPr>
            </w:pPr>
            <w:r w:rsidRPr="00D3374B">
              <w:rPr>
                <w:lang w:val="en-US"/>
              </w:rPr>
              <w:t>Uzbekistan</w:t>
            </w:r>
          </w:p>
        </w:tc>
        <w:tc>
          <w:tcPr>
            <w:tcW w:w="2268" w:type="dxa"/>
            <w:vAlign w:val="bottom"/>
          </w:tcPr>
          <w:p w14:paraId="2CB54B5A" w14:textId="77777777" w:rsidR="00C25949" w:rsidRPr="00D3374B" w:rsidRDefault="00C25949" w:rsidP="00C25949">
            <w:pPr>
              <w:rPr>
                <w:lang w:val="en-US"/>
              </w:rPr>
            </w:pPr>
          </w:p>
        </w:tc>
        <w:tc>
          <w:tcPr>
            <w:tcW w:w="4536" w:type="dxa"/>
            <w:vAlign w:val="bottom"/>
          </w:tcPr>
          <w:p w14:paraId="421877F0" w14:textId="77777777" w:rsidR="00C25949" w:rsidRPr="00D3374B" w:rsidRDefault="00C25949" w:rsidP="00C25949">
            <w:pPr>
              <w:rPr>
                <w:lang w:val="en-US"/>
              </w:rPr>
            </w:pPr>
          </w:p>
        </w:tc>
      </w:tr>
    </w:tbl>
    <w:p w14:paraId="7919B7A0" w14:textId="77777777" w:rsidR="00C25949" w:rsidRPr="00213942" w:rsidRDefault="00C25949" w:rsidP="00C25949">
      <w:pPr>
        <w:spacing w:line="360" w:lineRule="auto"/>
        <w:rPr>
          <w:rStyle w:val="notranslate"/>
          <w:lang w:val="en-US"/>
        </w:rPr>
      </w:pPr>
    </w:p>
    <w:p w14:paraId="3B84876C" w14:textId="77777777" w:rsidR="00C25949" w:rsidRDefault="00C25949" w:rsidP="00C25949">
      <w:pPr>
        <w:jc w:val="center"/>
        <w:rPr>
          <w:b/>
          <w:lang w:val="en-US"/>
        </w:rPr>
      </w:pPr>
    </w:p>
    <w:p w14:paraId="3B13665D" w14:textId="3B281358" w:rsidR="00C25949" w:rsidRDefault="00C25949">
      <w:pPr>
        <w:rPr>
          <w:b/>
          <w:lang w:val="en-US"/>
        </w:rPr>
      </w:pPr>
      <w:r>
        <w:rPr>
          <w:b/>
          <w:lang w:val="en-US"/>
        </w:rPr>
        <w:br w:type="page"/>
      </w:r>
    </w:p>
    <w:p w14:paraId="0B7ADA2F" w14:textId="77777777" w:rsidR="00C25949" w:rsidRDefault="00C25949">
      <w:pPr>
        <w:rPr>
          <w:b/>
          <w:lang w:val="en-US"/>
        </w:rPr>
      </w:pPr>
    </w:p>
    <w:p w14:paraId="6CAB39A0" w14:textId="10322303" w:rsidR="00563A6A" w:rsidRPr="00563A6A" w:rsidRDefault="00DB0E88" w:rsidP="00563A6A">
      <w:pPr>
        <w:jc w:val="center"/>
        <w:rPr>
          <w:b/>
          <w:lang w:val="en-US"/>
        </w:rPr>
      </w:pPr>
      <w:r w:rsidRPr="00563A6A">
        <w:rPr>
          <w:b/>
          <w:lang w:val="en-US"/>
        </w:rPr>
        <w:t xml:space="preserve">Appendix </w:t>
      </w:r>
      <w:r w:rsidR="00C25949">
        <w:rPr>
          <w:b/>
          <w:lang w:val="en-US"/>
        </w:rPr>
        <w:t>C</w:t>
      </w:r>
    </w:p>
    <w:p w14:paraId="478F4017" w14:textId="7FCE9A45" w:rsidR="00C42A67" w:rsidRDefault="00DB0E88" w:rsidP="00563A6A">
      <w:pPr>
        <w:jc w:val="center"/>
        <w:rPr>
          <w:b/>
          <w:lang w:val="en-US"/>
        </w:rPr>
      </w:pPr>
      <w:r w:rsidRPr="00563A6A">
        <w:rPr>
          <w:b/>
          <w:lang w:val="en-US"/>
        </w:rPr>
        <w:t xml:space="preserve">Table of </w:t>
      </w:r>
      <w:r w:rsidR="00563A6A" w:rsidRPr="00563A6A">
        <w:rPr>
          <w:b/>
          <w:lang w:val="en-US"/>
        </w:rPr>
        <w:t>nonfinancial asset classes including indicative IPSAS classes and GFSM2001 classes</w:t>
      </w:r>
    </w:p>
    <w:p w14:paraId="0C5B1FFA" w14:textId="1EE66C40" w:rsidR="004A34F5" w:rsidRPr="00563A6A" w:rsidRDefault="004A34F5" w:rsidP="00563A6A">
      <w:pPr>
        <w:jc w:val="center"/>
        <w:rPr>
          <w:b/>
          <w:lang w:val="en-US"/>
        </w:rPr>
      </w:pPr>
      <w:r>
        <w:rPr>
          <w:b/>
          <w:lang w:val="en-US"/>
        </w:rPr>
        <w:t>(see attached Excel File)</w:t>
      </w:r>
    </w:p>
    <w:sectPr w:rsidR="004A34F5" w:rsidRPr="00563A6A" w:rsidSect="00B54097">
      <w:footerReference w:type="even" r:id="rId20"/>
      <w:footerReference w:type="default" r:id="rId21"/>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66790" w14:textId="77777777" w:rsidR="00C16B57" w:rsidRDefault="00C16B57" w:rsidP="00101A30">
      <w:r>
        <w:separator/>
      </w:r>
    </w:p>
  </w:endnote>
  <w:endnote w:type="continuationSeparator" w:id="0">
    <w:p w14:paraId="69727690" w14:textId="77777777" w:rsidR="00C16B57" w:rsidRDefault="00C16B57" w:rsidP="0010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EFFC7" w14:textId="77777777" w:rsidR="00C17533" w:rsidRDefault="00C17533" w:rsidP="00101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73F3E" w14:textId="77777777" w:rsidR="00C17533" w:rsidRDefault="00C17533" w:rsidP="00567F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C17E7" w14:textId="77777777" w:rsidR="00C17533" w:rsidRDefault="00C17533" w:rsidP="00101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2436">
      <w:rPr>
        <w:rStyle w:val="PageNumber"/>
        <w:noProof/>
      </w:rPr>
      <w:t>1</w:t>
    </w:r>
    <w:r>
      <w:rPr>
        <w:rStyle w:val="PageNumber"/>
      </w:rPr>
      <w:fldChar w:fldCharType="end"/>
    </w:r>
  </w:p>
  <w:p w14:paraId="026DAC06" w14:textId="77777777" w:rsidR="00C17533" w:rsidRDefault="00C17533" w:rsidP="00567F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9CC49" w14:textId="77777777" w:rsidR="00C16B57" w:rsidRDefault="00C16B57" w:rsidP="00101A30">
      <w:r>
        <w:separator/>
      </w:r>
    </w:p>
  </w:footnote>
  <w:footnote w:type="continuationSeparator" w:id="0">
    <w:p w14:paraId="5BF4A155" w14:textId="77777777" w:rsidR="00C16B57" w:rsidRDefault="00C16B57" w:rsidP="00101A30">
      <w:r>
        <w:continuationSeparator/>
      </w:r>
    </w:p>
  </w:footnote>
  <w:footnote w:id="1">
    <w:p w14:paraId="5E93264A" w14:textId="7DA8EA54" w:rsidR="00C17533" w:rsidRPr="00894F0B" w:rsidRDefault="00C17533">
      <w:pPr>
        <w:pStyle w:val="FootnoteText"/>
        <w:rPr>
          <w:lang w:val="en-US"/>
        </w:rPr>
      </w:pPr>
      <w:r>
        <w:rPr>
          <w:rStyle w:val="FootnoteReference"/>
        </w:rPr>
        <w:footnoteRef/>
      </w:r>
      <w:r>
        <w:t xml:space="preserve"> </w:t>
      </w:r>
      <w:r>
        <w:rPr>
          <w:lang w:val="en-US"/>
        </w:rPr>
        <w:t>Croatia did not respond</w:t>
      </w:r>
    </w:p>
  </w:footnote>
  <w:footnote w:id="2">
    <w:p w14:paraId="3A5BEE58" w14:textId="736A12BF" w:rsidR="00C17533" w:rsidRPr="00894F0B" w:rsidRDefault="00C17533">
      <w:pPr>
        <w:pStyle w:val="FootnoteText"/>
        <w:rPr>
          <w:lang w:val="en-US"/>
        </w:rPr>
      </w:pPr>
      <w:r>
        <w:rPr>
          <w:rStyle w:val="FootnoteReference"/>
        </w:rPr>
        <w:footnoteRef/>
      </w:r>
      <w:r>
        <w:t xml:space="preserve"> </w:t>
      </w:r>
      <w:r>
        <w:rPr>
          <w:lang w:val="en-US"/>
        </w:rPr>
        <w:t>Uzbekistan only responded to part one of this question</w:t>
      </w:r>
    </w:p>
  </w:footnote>
  <w:footnote w:id="3">
    <w:p w14:paraId="4BDAC3FF" w14:textId="77777777" w:rsidR="00A040C4" w:rsidRPr="00C834A8" w:rsidRDefault="00A040C4">
      <w:pPr>
        <w:pStyle w:val="FootnoteText"/>
        <w:rPr>
          <w:lang w:val="en-US"/>
        </w:rPr>
      </w:pPr>
      <w:r>
        <w:rPr>
          <w:rStyle w:val="FootnoteReference"/>
        </w:rPr>
        <w:footnoteRef/>
      </w:r>
      <w:r>
        <w:t xml:space="preserve"> Many of the buildings were brought to account at cost at a time when property values were very low, often immediately after transition from the soviet union in the early 1990s</w:t>
      </w:r>
      <w:r>
        <w:rPr>
          <w:lang w:val="en-US"/>
        </w:rPr>
        <w:t xml:space="preserve">. The value of property (buildings and especially the land) has appreciated many times since that time, even allowing for accumulated depreciation on buildings.  </w:t>
      </w:r>
    </w:p>
  </w:footnote>
  <w:footnote w:id="4">
    <w:p w14:paraId="4AEBC0DC" w14:textId="4BC1913A" w:rsidR="00C17533" w:rsidRPr="00C83F3F" w:rsidRDefault="00C17533">
      <w:pPr>
        <w:pStyle w:val="FootnoteText"/>
        <w:rPr>
          <w:lang w:val="en-US"/>
        </w:rPr>
      </w:pPr>
      <w:r>
        <w:rPr>
          <w:rStyle w:val="FootnoteReference"/>
        </w:rPr>
        <w:footnoteRef/>
      </w:r>
      <w:r>
        <w:t xml:space="preserve"> </w:t>
      </w:r>
      <w:r>
        <w:rPr>
          <w:lang w:val="en-US"/>
        </w:rPr>
        <w:t xml:space="preserve">The comparison is not an exact match with the structure of GFSM. </w:t>
      </w:r>
      <w:r w:rsidR="00A040C4">
        <w:rPr>
          <w:lang w:val="en-US"/>
        </w:rPr>
        <w:t xml:space="preserve">As an example, buildings are represented as a single class, with no distinction between residential and other buildings. </w:t>
      </w:r>
      <w:r>
        <w:rPr>
          <w:lang w:val="en-US"/>
        </w:rPr>
        <w:t xml:space="preserve">The decision regarding what is included as GFS categories largely reflects those classes which have some correlation with the responses from countries </w:t>
      </w:r>
    </w:p>
  </w:footnote>
  <w:footnote w:id="5">
    <w:p w14:paraId="511AE16F" w14:textId="1D81705A" w:rsidR="00C17533" w:rsidRPr="00B421B5" w:rsidRDefault="00C17533">
      <w:pPr>
        <w:pStyle w:val="FootnoteText"/>
        <w:rPr>
          <w:lang w:val="en-US"/>
        </w:rPr>
      </w:pPr>
      <w:r>
        <w:rPr>
          <w:rStyle w:val="FootnoteReference"/>
        </w:rPr>
        <w:footnoteRef/>
      </w:r>
      <w:r>
        <w:t xml:space="preserve"> </w:t>
      </w:r>
      <w:r>
        <w:rPr>
          <w:lang w:val="en-US"/>
        </w:rPr>
        <w:t xml:space="preserve">IPSAS does not define specific classes of assets but does provide a suggested set of classes </w:t>
      </w:r>
    </w:p>
  </w:footnote>
  <w:footnote w:id="6">
    <w:p w14:paraId="1FB329DE" w14:textId="29753BF9" w:rsidR="00C17533" w:rsidRPr="00B51B2E" w:rsidRDefault="00C17533">
      <w:pPr>
        <w:pStyle w:val="FootnoteText"/>
        <w:rPr>
          <w:lang w:val="en-US"/>
        </w:rPr>
      </w:pPr>
      <w:r>
        <w:rPr>
          <w:rStyle w:val="FootnoteReference"/>
        </w:rPr>
        <w:footnoteRef/>
      </w:r>
      <w:r>
        <w:t xml:space="preserve"> </w:t>
      </w:r>
      <w:r>
        <w:rPr>
          <w:lang w:val="en-US"/>
        </w:rPr>
        <w:t xml:space="preserve">this is a new category added in the  draft GFSM2014, termed Weapons Systems. Further categories have been added which may warrant review by countries including Land Improvements which is grouped with buildings and structures.  </w:t>
      </w:r>
    </w:p>
  </w:footnote>
  <w:footnote w:id="7">
    <w:p w14:paraId="21320FAE" w14:textId="6C8C549D" w:rsidR="00C17533" w:rsidRPr="00595E88" w:rsidRDefault="00C17533">
      <w:pPr>
        <w:pStyle w:val="FootnoteText"/>
        <w:rPr>
          <w:lang w:val="en-US"/>
        </w:rPr>
      </w:pPr>
    </w:p>
  </w:footnote>
  <w:footnote w:id="8">
    <w:p w14:paraId="01054E7B" w14:textId="54E937A2" w:rsidR="00C17533" w:rsidRPr="00760EA7" w:rsidRDefault="00C17533" w:rsidP="00760EA7">
      <w:pPr>
        <w:pStyle w:val="FootnoteText"/>
        <w:rPr>
          <w:sz w:val="18"/>
          <w:szCs w:val="18"/>
          <w:lang w:val="en-US"/>
        </w:rPr>
      </w:pPr>
      <w:r>
        <w:rPr>
          <w:rStyle w:val="FootnoteReference"/>
        </w:rPr>
        <w:footnoteRef/>
      </w:r>
      <w:r>
        <w:t xml:space="preserve"> </w:t>
      </w:r>
      <w:r w:rsidRPr="00760EA7">
        <w:rPr>
          <w:sz w:val="18"/>
          <w:szCs w:val="18"/>
        </w:rPr>
        <w:t>Declining balance is used. This</w:t>
      </w:r>
      <w:r w:rsidRPr="00760EA7">
        <w:rPr>
          <w:sz w:val="18"/>
          <w:szCs w:val="18"/>
          <w:lang w:val="en-US"/>
        </w:rPr>
        <w:t xml:space="preserve"> is the only example of depreciation reported by a country not using the straight line method</w:t>
      </w:r>
    </w:p>
  </w:footnote>
  <w:footnote w:id="9">
    <w:p w14:paraId="02FC0825" w14:textId="616FDCA8" w:rsidR="00C17533" w:rsidRPr="00AA0B08" w:rsidRDefault="00C17533">
      <w:pPr>
        <w:pStyle w:val="FootnoteText"/>
        <w:rPr>
          <w:lang w:val="en-US"/>
        </w:rPr>
      </w:pPr>
      <w:r>
        <w:rPr>
          <w:rStyle w:val="FootnoteReference"/>
        </w:rPr>
        <w:footnoteRef/>
      </w:r>
      <w:r>
        <w:t xml:space="preserve"> T</w:t>
      </w:r>
      <w:r>
        <w:rPr>
          <w:lang w:val="en-US"/>
        </w:rPr>
        <w:t xml:space="preserve">ypically lower value assets are also controlled through a register of controllable items. In some countries this could be referred to as the Register of Portable and Attractive Items.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B154DF"/>
    <w:multiLevelType w:val="hybridMultilevel"/>
    <w:tmpl w:val="3A8C9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46E76"/>
    <w:multiLevelType w:val="hybridMultilevel"/>
    <w:tmpl w:val="0CA21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07192"/>
    <w:multiLevelType w:val="hybridMultilevel"/>
    <w:tmpl w:val="96DAD8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631D70"/>
    <w:multiLevelType w:val="hybridMultilevel"/>
    <w:tmpl w:val="F8B8591A"/>
    <w:lvl w:ilvl="0" w:tplc="0409000B">
      <w:start w:val="1"/>
      <w:numFmt w:val="bullet"/>
      <w:lvlText w:val=""/>
      <w:lvlJc w:val="left"/>
      <w:pPr>
        <w:ind w:left="2988" w:hanging="360"/>
      </w:pPr>
      <w:rPr>
        <w:rFonts w:ascii="Wingdings" w:hAnsi="Wingdings"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
    <w:nsid w:val="2DB40392"/>
    <w:multiLevelType w:val="hybridMultilevel"/>
    <w:tmpl w:val="422CF5B2"/>
    <w:lvl w:ilvl="0" w:tplc="0409000B">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6">
    <w:nsid w:val="42724E9E"/>
    <w:multiLevelType w:val="hybridMultilevel"/>
    <w:tmpl w:val="50287426"/>
    <w:lvl w:ilvl="0" w:tplc="0409000B">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7">
    <w:nsid w:val="446C2DDA"/>
    <w:multiLevelType w:val="hybridMultilevel"/>
    <w:tmpl w:val="626EAF8A"/>
    <w:lvl w:ilvl="0" w:tplc="04090019">
      <w:start w:val="1"/>
      <w:numFmt w:val="lowerLetter"/>
      <w:lvlText w:val="%1."/>
      <w:lvlJc w:val="left"/>
      <w:pPr>
        <w:ind w:left="2484" w:hanging="360"/>
      </w:p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8">
    <w:nsid w:val="47EB3786"/>
    <w:multiLevelType w:val="hybridMultilevel"/>
    <w:tmpl w:val="841469B0"/>
    <w:lvl w:ilvl="0" w:tplc="ED0A4150">
      <w:start w:val="1"/>
      <w:numFmt w:val="bullet"/>
      <w:lvlText w:val="•"/>
      <w:lvlJc w:val="left"/>
      <w:pPr>
        <w:tabs>
          <w:tab w:val="num" w:pos="720"/>
        </w:tabs>
        <w:ind w:left="720" w:hanging="360"/>
      </w:pPr>
      <w:rPr>
        <w:rFonts w:ascii="Arial" w:hAnsi="Arial" w:hint="default"/>
      </w:rPr>
    </w:lvl>
    <w:lvl w:ilvl="1" w:tplc="16620710" w:tentative="1">
      <w:start w:val="1"/>
      <w:numFmt w:val="bullet"/>
      <w:lvlText w:val="•"/>
      <w:lvlJc w:val="left"/>
      <w:pPr>
        <w:tabs>
          <w:tab w:val="num" w:pos="1440"/>
        </w:tabs>
        <w:ind w:left="1440" w:hanging="360"/>
      </w:pPr>
      <w:rPr>
        <w:rFonts w:ascii="Arial" w:hAnsi="Arial" w:hint="default"/>
      </w:rPr>
    </w:lvl>
    <w:lvl w:ilvl="2" w:tplc="52C23104" w:tentative="1">
      <w:start w:val="1"/>
      <w:numFmt w:val="bullet"/>
      <w:lvlText w:val="•"/>
      <w:lvlJc w:val="left"/>
      <w:pPr>
        <w:tabs>
          <w:tab w:val="num" w:pos="2160"/>
        </w:tabs>
        <w:ind w:left="2160" w:hanging="360"/>
      </w:pPr>
      <w:rPr>
        <w:rFonts w:ascii="Arial" w:hAnsi="Arial" w:hint="default"/>
      </w:rPr>
    </w:lvl>
    <w:lvl w:ilvl="3" w:tplc="BAA83508" w:tentative="1">
      <w:start w:val="1"/>
      <w:numFmt w:val="bullet"/>
      <w:lvlText w:val="•"/>
      <w:lvlJc w:val="left"/>
      <w:pPr>
        <w:tabs>
          <w:tab w:val="num" w:pos="2880"/>
        </w:tabs>
        <w:ind w:left="2880" w:hanging="360"/>
      </w:pPr>
      <w:rPr>
        <w:rFonts w:ascii="Arial" w:hAnsi="Arial" w:hint="default"/>
      </w:rPr>
    </w:lvl>
    <w:lvl w:ilvl="4" w:tplc="C9E02144" w:tentative="1">
      <w:start w:val="1"/>
      <w:numFmt w:val="bullet"/>
      <w:lvlText w:val="•"/>
      <w:lvlJc w:val="left"/>
      <w:pPr>
        <w:tabs>
          <w:tab w:val="num" w:pos="3600"/>
        </w:tabs>
        <w:ind w:left="3600" w:hanging="360"/>
      </w:pPr>
      <w:rPr>
        <w:rFonts w:ascii="Arial" w:hAnsi="Arial" w:hint="default"/>
      </w:rPr>
    </w:lvl>
    <w:lvl w:ilvl="5" w:tplc="93688E28" w:tentative="1">
      <w:start w:val="1"/>
      <w:numFmt w:val="bullet"/>
      <w:lvlText w:val="•"/>
      <w:lvlJc w:val="left"/>
      <w:pPr>
        <w:tabs>
          <w:tab w:val="num" w:pos="4320"/>
        </w:tabs>
        <w:ind w:left="4320" w:hanging="360"/>
      </w:pPr>
      <w:rPr>
        <w:rFonts w:ascii="Arial" w:hAnsi="Arial" w:hint="default"/>
      </w:rPr>
    </w:lvl>
    <w:lvl w:ilvl="6" w:tplc="1CBA6EC4" w:tentative="1">
      <w:start w:val="1"/>
      <w:numFmt w:val="bullet"/>
      <w:lvlText w:val="•"/>
      <w:lvlJc w:val="left"/>
      <w:pPr>
        <w:tabs>
          <w:tab w:val="num" w:pos="5040"/>
        </w:tabs>
        <w:ind w:left="5040" w:hanging="360"/>
      </w:pPr>
      <w:rPr>
        <w:rFonts w:ascii="Arial" w:hAnsi="Arial" w:hint="default"/>
      </w:rPr>
    </w:lvl>
    <w:lvl w:ilvl="7" w:tplc="B888E486" w:tentative="1">
      <w:start w:val="1"/>
      <w:numFmt w:val="bullet"/>
      <w:lvlText w:val="•"/>
      <w:lvlJc w:val="left"/>
      <w:pPr>
        <w:tabs>
          <w:tab w:val="num" w:pos="5760"/>
        </w:tabs>
        <w:ind w:left="5760" w:hanging="360"/>
      </w:pPr>
      <w:rPr>
        <w:rFonts w:ascii="Arial" w:hAnsi="Arial" w:hint="default"/>
      </w:rPr>
    </w:lvl>
    <w:lvl w:ilvl="8" w:tplc="A0B49142" w:tentative="1">
      <w:start w:val="1"/>
      <w:numFmt w:val="bullet"/>
      <w:lvlText w:val="•"/>
      <w:lvlJc w:val="left"/>
      <w:pPr>
        <w:tabs>
          <w:tab w:val="num" w:pos="6480"/>
        </w:tabs>
        <w:ind w:left="6480" w:hanging="360"/>
      </w:pPr>
      <w:rPr>
        <w:rFonts w:ascii="Arial" w:hAnsi="Arial" w:hint="default"/>
      </w:rPr>
    </w:lvl>
  </w:abstractNum>
  <w:abstractNum w:abstractNumId="9">
    <w:nsid w:val="4AA73611"/>
    <w:multiLevelType w:val="hybridMultilevel"/>
    <w:tmpl w:val="70D6307E"/>
    <w:lvl w:ilvl="0" w:tplc="0409000B">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nsid w:val="57A51FF1"/>
    <w:multiLevelType w:val="hybridMultilevel"/>
    <w:tmpl w:val="B230927C"/>
    <w:lvl w:ilvl="0" w:tplc="36E45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C65DA6"/>
    <w:multiLevelType w:val="hybridMultilevel"/>
    <w:tmpl w:val="0BB471C2"/>
    <w:lvl w:ilvl="0" w:tplc="0409000B">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2">
    <w:nsid w:val="5AFD62A9"/>
    <w:multiLevelType w:val="hybridMultilevel"/>
    <w:tmpl w:val="81788170"/>
    <w:lvl w:ilvl="0" w:tplc="0409000B">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3">
    <w:nsid w:val="6CF2568B"/>
    <w:multiLevelType w:val="hybridMultilevel"/>
    <w:tmpl w:val="BACA9064"/>
    <w:lvl w:ilvl="0" w:tplc="36E4504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1982187"/>
    <w:multiLevelType w:val="hybridMultilevel"/>
    <w:tmpl w:val="05FA9EBE"/>
    <w:lvl w:ilvl="0" w:tplc="5DB0BB08">
      <w:start w:val="1"/>
      <w:numFmt w:val="bullet"/>
      <w:lvlText w:val="•"/>
      <w:lvlJc w:val="left"/>
      <w:pPr>
        <w:tabs>
          <w:tab w:val="num" w:pos="720"/>
        </w:tabs>
        <w:ind w:left="720" w:hanging="360"/>
      </w:pPr>
      <w:rPr>
        <w:rFonts w:ascii="Arial" w:hAnsi="Arial" w:hint="default"/>
      </w:rPr>
    </w:lvl>
    <w:lvl w:ilvl="1" w:tplc="985A3CEC" w:tentative="1">
      <w:start w:val="1"/>
      <w:numFmt w:val="bullet"/>
      <w:lvlText w:val="•"/>
      <w:lvlJc w:val="left"/>
      <w:pPr>
        <w:tabs>
          <w:tab w:val="num" w:pos="1440"/>
        </w:tabs>
        <w:ind w:left="1440" w:hanging="360"/>
      </w:pPr>
      <w:rPr>
        <w:rFonts w:ascii="Arial" w:hAnsi="Arial" w:hint="default"/>
      </w:rPr>
    </w:lvl>
    <w:lvl w:ilvl="2" w:tplc="8D52132C" w:tentative="1">
      <w:start w:val="1"/>
      <w:numFmt w:val="bullet"/>
      <w:lvlText w:val="•"/>
      <w:lvlJc w:val="left"/>
      <w:pPr>
        <w:tabs>
          <w:tab w:val="num" w:pos="2160"/>
        </w:tabs>
        <w:ind w:left="2160" w:hanging="360"/>
      </w:pPr>
      <w:rPr>
        <w:rFonts w:ascii="Arial" w:hAnsi="Arial" w:hint="default"/>
      </w:rPr>
    </w:lvl>
    <w:lvl w:ilvl="3" w:tplc="EBB663EE" w:tentative="1">
      <w:start w:val="1"/>
      <w:numFmt w:val="bullet"/>
      <w:lvlText w:val="•"/>
      <w:lvlJc w:val="left"/>
      <w:pPr>
        <w:tabs>
          <w:tab w:val="num" w:pos="2880"/>
        </w:tabs>
        <w:ind w:left="2880" w:hanging="360"/>
      </w:pPr>
      <w:rPr>
        <w:rFonts w:ascii="Arial" w:hAnsi="Arial" w:hint="default"/>
      </w:rPr>
    </w:lvl>
    <w:lvl w:ilvl="4" w:tplc="24868084" w:tentative="1">
      <w:start w:val="1"/>
      <w:numFmt w:val="bullet"/>
      <w:lvlText w:val="•"/>
      <w:lvlJc w:val="left"/>
      <w:pPr>
        <w:tabs>
          <w:tab w:val="num" w:pos="3600"/>
        </w:tabs>
        <w:ind w:left="3600" w:hanging="360"/>
      </w:pPr>
      <w:rPr>
        <w:rFonts w:ascii="Arial" w:hAnsi="Arial" w:hint="default"/>
      </w:rPr>
    </w:lvl>
    <w:lvl w:ilvl="5" w:tplc="E3A00F30" w:tentative="1">
      <w:start w:val="1"/>
      <w:numFmt w:val="bullet"/>
      <w:lvlText w:val="•"/>
      <w:lvlJc w:val="left"/>
      <w:pPr>
        <w:tabs>
          <w:tab w:val="num" w:pos="4320"/>
        </w:tabs>
        <w:ind w:left="4320" w:hanging="360"/>
      </w:pPr>
      <w:rPr>
        <w:rFonts w:ascii="Arial" w:hAnsi="Arial" w:hint="default"/>
      </w:rPr>
    </w:lvl>
    <w:lvl w:ilvl="6" w:tplc="0944C800" w:tentative="1">
      <w:start w:val="1"/>
      <w:numFmt w:val="bullet"/>
      <w:lvlText w:val="•"/>
      <w:lvlJc w:val="left"/>
      <w:pPr>
        <w:tabs>
          <w:tab w:val="num" w:pos="5040"/>
        </w:tabs>
        <w:ind w:left="5040" w:hanging="360"/>
      </w:pPr>
      <w:rPr>
        <w:rFonts w:ascii="Arial" w:hAnsi="Arial" w:hint="default"/>
      </w:rPr>
    </w:lvl>
    <w:lvl w:ilvl="7" w:tplc="41E08158" w:tentative="1">
      <w:start w:val="1"/>
      <w:numFmt w:val="bullet"/>
      <w:lvlText w:val="•"/>
      <w:lvlJc w:val="left"/>
      <w:pPr>
        <w:tabs>
          <w:tab w:val="num" w:pos="5760"/>
        </w:tabs>
        <w:ind w:left="5760" w:hanging="360"/>
      </w:pPr>
      <w:rPr>
        <w:rFonts w:ascii="Arial" w:hAnsi="Arial" w:hint="default"/>
      </w:rPr>
    </w:lvl>
    <w:lvl w:ilvl="8" w:tplc="6B842BB6" w:tentative="1">
      <w:start w:val="1"/>
      <w:numFmt w:val="bullet"/>
      <w:lvlText w:val="•"/>
      <w:lvlJc w:val="left"/>
      <w:pPr>
        <w:tabs>
          <w:tab w:val="num" w:pos="6480"/>
        </w:tabs>
        <w:ind w:left="6480" w:hanging="360"/>
      </w:pPr>
      <w:rPr>
        <w:rFonts w:ascii="Arial" w:hAnsi="Arial" w:hint="default"/>
      </w:rPr>
    </w:lvl>
  </w:abstractNum>
  <w:abstractNum w:abstractNumId="15">
    <w:nsid w:val="72090498"/>
    <w:multiLevelType w:val="hybridMultilevel"/>
    <w:tmpl w:val="E9B68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1B74AA"/>
    <w:multiLevelType w:val="hybridMultilevel"/>
    <w:tmpl w:val="EC8E8FA2"/>
    <w:lvl w:ilvl="0" w:tplc="0409000B">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8"/>
  </w:num>
  <w:num w:numId="2">
    <w:abstractNumId w:val="1"/>
  </w:num>
  <w:num w:numId="3">
    <w:abstractNumId w:val="14"/>
  </w:num>
  <w:num w:numId="4">
    <w:abstractNumId w:val="2"/>
  </w:num>
  <w:num w:numId="5">
    <w:abstractNumId w:val="4"/>
  </w:num>
  <w:num w:numId="6">
    <w:abstractNumId w:val="10"/>
  </w:num>
  <w:num w:numId="7">
    <w:abstractNumId w:val="13"/>
  </w:num>
  <w:num w:numId="8">
    <w:abstractNumId w:val="0"/>
  </w:num>
  <w:num w:numId="9">
    <w:abstractNumId w:val="7"/>
  </w:num>
  <w:num w:numId="10">
    <w:abstractNumId w:val="3"/>
  </w:num>
  <w:num w:numId="11">
    <w:abstractNumId w:val="15"/>
  </w:num>
  <w:num w:numId="12">
    <w:abstractNumId w:val="11"/>
  </w:num>
  <w:num w:numId="13">
    <w:abstractNumId w:val="9"/>
  </w:num>
  <w:num w:numId="14">
    <w:abstractNumId w:val="5"/>
  </w:num>
  <w:num w:numId="15">
    <w:abstractNumId w:val="12"/>
  </w:num>
  <w:num w:numId="16">
    <w:abstractNumId w:val="16"/>
  </w:num>
  <w:num w:numId="1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65"/>
    <w:rsid w:val="00002436"/>
    <w:rsid w:val="00004CB4"/>
    <w:rsid w:val="000118CE"/>
    <w:rsid w:val="00017327"/>
    <w:rsid w:val="000206ED"/>
    <w:rsid w:val="00033CFF"/>
    <w:rsid w:val="000402B6"/>
    <w:rsid w:val="00044B48"/>
    <w:rsid w:val="000556D1"/>
    <w:rsid w:val="00057E4C"/>
    <w:rsid w:val="00060E7A"/>
    <w:rsid w:val="00061A9C"/>
    <w:rsid w:val="0007160E"/>
    <w:rsid w:val="00075D4A"/>
    <w:rsid w:val="00080D4A"/>
    <w:rsid w:val="000810A8"/>
    <w:rsid w:val="00085FE8"/>
    <w:rsid w:val="00087015"/>
    <w:rsid w:val="00090243"/>
    <w:rsid w:val="0009469E"/>
    <w:rsid w:val="00097C25"/>
    <w:rsid w:val="000A11C3"/>
    <w:rsid w:val="000A3D61"/>
    <w:rsid w:val="000A5411"/>
    <w:rsid w:val="000B2A9B"/>
    <w:rsid w:val="000C4812"/>
    <w:rsid w:val="000D0694"/>
    <w:rsid w:val="000D070E"/>
    <w:rsid w:val="000E128A"/>
    <w:rsid w:val="000E1E42"/>
    <w:rsid w:val="000E3EA2"/>
    <w:rsid w:val="000E3F55"/>
    <w:rsid w:val="000F4642"/>
    <w:rsid w:val="000F7150"/>
    <w:rsid w:val="00101A30"/>
    <w:rsid w:val="00105D13"/>
    <w:rsid w:val="00105F2F"/>
    <w:rsid w:val="001230FA"/>
    <w:rsid w:val="001235A5"/>
    <w:rsid w:val="001236A7"/>
    <w:rsid w:val="001237E5"/>
    <w:rsid w:val="001240D3"/>
    <w:rsid w:val="001270EB"/>
    <w:rsid w:val="00133400"/>
    <w:rsid w:val="00135D06"/>
    <w:rsid w:val="00137D64"/>
    <w:rsid w:val="0014132F"/>
    <w:rsid w:val="00145ED7"/>
    <w:rsid w:val="0014738B"/>
    <w:rsid w:val="0014749B"/>
    <w:rsid w:val="00155047"/>
    <w:rsid w:val="00162453"/>
    <w:rsid w:val="001660D5"/>
    <w:rsid w:val="00171083"/>
    <w:rsid w:val="001833A9"/>
    <w:rsid w:val="001927B6"/>
    <w:rsid w:val="001A0F86"/>
    <w:rsid w:val="001A77C0"/>
    <w:rsid w:val="001B0810"/>
    <w:rsid w:val="001B2C4B"/>
    <w:rsid w:val="001B4E97"/>
    <w:rsid w:val="001C1DF3"/>
    <w:rsid w:val="001C2359"/>
    <w:rsid w:val="001C2A41"/>
    <w:rsid w:val="001C4070"/>
    <w:rsid w:val="001D2947"/>
    <w:rsid w:val="001D55F3"/>
    <w:rsid w:val="001D7A0D"/>
    <w:rsid w:val="001E07B0"/>
    <w:rsid w:val="001E197B"/>
    <w:rsid w:val="001E5D08"/>
    <w:rsid w:val="001F1C92"/>
    <w:rsid w:val="001F3C1B"/>
    <w:rsid w:val="002019CB"/>
    <w:rsid w:val="00213942"/>
    <w:rsid w:val="0022408C"/>
    <w:rsid w:val="002278FE"/>
    <w:rsid w:val="00230C1B"/>
    <w:rsid w:val="00235B10"/>
    <w:rsid w:val="0023762D"/>
    <w:rsid w:val="00240159"/>
    <w:rsid w:val="002407AE"/>
    <w:rsid w:val="00240FE1"/>
    <w:rsid w:val="00243EDB"/>
    <w:rsid w:val="002501C1"/>
    <w:rsid w:val="0026050A"/>
    <w:rsid w:val="00260F9C"/>
    <w:rsid w:val="00262A66"/>
    <w:rsid w:val="0027460B"/>
    <w:rsid w:val="00274DBA"/>
    <w:rsid w:val="00286127"/>
    <w:rsid w:val="0028702B"/>
    <w:rsid w:val="00294498"/>
    <w:rsid w:val="00295057"/>
    <w:rsid w:val="002A05FB"/>
    <w:rsid w:val="002A183E"/>
    <w:rsid w:val="002A2F5E"/>
    <w:rsid w:val="002A67D0"/>
    <w:rsid w:val="002B6A05"/>
    <w:rsid w:val="002B7A31"/>
    <w:rsid w:val="002C11B9"/>
    <w:rsid w:val="002C2DBE"/>
    <w:rsid w:val="002C376E"/>
    <w:rsid w:val="002E44E3"/>
    <w:rsid w:val="002F2DC0"/>
    <w:rsid w:val="00301CA8"/>
    <w:rsid w:val="0030706A"/>
    <w:rsid w:val="00311DF6"/>
    <w:rsid w:val="0032317D"/>
    <w:rsid w:val="003338F8"/>
    <w:rsid w:val="00333D36"/>
    <w:rsid w:val="00336DFD"/>
    <w:rsid w:val="00343A16"/>
    <w:rsid w:val="00343FE2"/>
    <w:rsid w:val="00345FAF"/>
    <w:rsid w:val="00345FC1"/>
    <w:rsid w:val="00351054"/>
    <w:rsid w:val="003572B1"/>
    <w:rsid w:val="00357D6A"/>
    <w:rsid w:val="00367D0B"/>
    <w:rsid w:val="0037164B"/>
    <w:rsid w:val="003738F5"/>
    <w:rsid w:val="00373DFF"/>
    <w:rsid w:val="00386A07"/>
    <w:rsid w:val="00386B16"/>
    <w:rsid w:val="00391447"/>
    <w:rsid w:val="003A62C4"/>
    <w:rsid w:val="003B1C6A"/>
    <w:rsid w:val="003B64C6"/>
    <w:rsid w:val="003B6D96"/>
    <w:rsid w:val="003C2CBF"/>
    <w:rsid w:val="003C2FBC"/>
    <w:rsid w:val="003D252F"/>
    <w:rsid w:val="003D2CC9"/>
    <w:rsid w:val="003F2FA1"/>
    <w:rsid w:val="003F4217"/>
    <w:rsid w:val="003F68CD"/>
    <w:rsid w:val="00400545"/>
    <w:rsid w:val="00400C5C"/>
    <w:rsid w:val="004035E8"/>
    <w:rsid w:val="004154AC"/>
    <w:rsid w:val="004173DB"/>
    <w:rsid w:val="00417A57"/>
    <w:rsid w:val="00421A98"/>
    <w:rsid w:val="00431A3E"/>
    <w:rsid w:val="00443564"/>
    <w:rsid w:val="004462F8"/>
    <w:rsid w:val="0044640E"/>
    <w:rsid w:val="004535CF"/>
    <w:rsid w:val="0045422D"/>
    <w:rsid w:val="00454430"/>
    <w:rsid w:val="00454EAE"/>
    <w:rsid w:val="00457250"/>
    <w:rsid w:val="00462189"/>
    <w:rsid w:val="00464EFA"/>
    <w:rsid w:val="00465A78"/>
    <w:rsid w:val="00465B19"/>
    <w:rsid w:val="00474875"/>
    <w:rsid w:val="00477CD4"/>
    <w:rsid w:val="004802BE"/>
    <w:rsid w:val="00482C64"/>
    <w:rsid w:val="00484523"/>
    <w:rsid w:val="0049027A"/>
    <w:rsid w:val="004925C8"/>
    <w:rsid w:val="00495DA8"/>
    <w:rsid w:val="00496B3F"/>
    <w:rsid w:val="004A1E70"/>
    <w:rsid w:val="004A34F5"/>
    <w:rsid w:val="004A3F3D"/>
    <w:rsid w:val="004A4FAB"/>
    <w:rsid w:val="004A5F79"/>
    <w:rsid w:val="004A7854"/>
    <w:rsid w:val="004B1F48"/>
    <w:rsid w:val="004B6B36"/>
    <w:rsid w:val="004C212F"/>
    <w:rsid w:val="004C337C"/>
    <w:rsid w:val="004C3397"/>
    <w:rsid w:val="004D0AB0"/>
    <w:rsid w:val="004D11C7"/>
    <w:rsid w:val="004D3468"/>
    <w:rsid w:val="004D6645"/>
    <w:rsid w:val="004E6271"/>
    <w:rsid w:val="004F5767"/>
    <w:rsid w:val="004F652F"/>
    <w:rsid w:val="004F6EEA"/>
    <w:rsid w:val="005040EB"/>
    <w:rsid w:val="0050628C"/>
    <w:rsid w:val="00510BAE"/>
    <w:rsid w:val="005222CE"/>
    <w:rsid w:val="00533070"/>
    <w:rsid w:val="005378AB"/>
    <w:rsid w:val="0054555F"/>
    <w:rsid w:val="00545CBE"/>
    <w:rsid w:val="0055600B"/>
    <w:rsid w:val="00556938"/>
    <w:rsid w:val="00560681"/>
    <w:rsid w:val="00563A6A"/>
    <w:rsid w:val="00567FD8"/>
    <w:rsid w:val="00571F58"/>
    <w:rsid w:val="00572737"/>
    <w:rsid w:val="00577D29"/>
    <w:rsid w:val="0058158D"/>
    <w:rsid w:val="00585C95"/>
    <w:rsid w:val="005914A1"/>
    <w:rsid w:val="005915DB"/>
    <w:rsid w:val="00592048"/>
    <w:rsid w:val="005925BB"/>
    <w:rsid w:val="00595E88"/>
    <w:rsid w:val="005A44C5"/>
    <w:rsid w:val="005A6FBC"/>
    <w:rsid w:val="005C26B9"/>
    <w:rsid w:val="005D021E"/>
    <w:rsid w:val="005F354F"/>
    <w:rsid w:val="005F3D96"/>
    <w:rsid w:val="005F4B47"/>
    <w:rsid w:val="006078F8"/>
    <w:rsid w:val="00610EDC"/>
    <w:rsid w:val="006157EE"/>
    <w:rsid w:val="00620B64"/>
    <w:rsid w:val="006215A3"/>
    <w:rsid w:val="0062474C"/>
    <w:rsid w:val="00626E69"/>
    <w:rsid w:val="00630F56"/>
    <w:rsid w:val="00643156"/>
    <w:rsid w:val="00645974"/>
    <w:rsid w:val="006552F0"/>
    <w:rsid w:val="006608FB"/>
    <w:rsid w:val="006621F6"/>
    <w:rsid w:val="00663EA3"/>
    <w:rsid w:val="006810B5"/>
    <w:rsid w:val="00681943"/>
    <w:rsid w:val="006852A9"/>
    <w:rsid w:val="00687217"/>
    <w:rsid w:val="00692E04"/>
    <w:rsid w:val="006938C9"/>
    <w:rsid w:val="00693989"/>
    <w:rsid w:val="0069525F"/>
    <w:rsid w:val="006A0A91"/>
    <w:rsid w:val="006A1731"/>
    <w:rsid w:val="006A26AE"/>
    <w:rsid w:val="006A628A"/>
    <w:rsid w:val="006A680B"/>
    <w:rsid w:val="006C63F8"/>
    <w:rsid w:val="006D283F"/>
    <w:rsid w:val="006E1E46"/>
    <w:rsid w:val="006E2691"/>
    <w:rsid w:val="006E3E74"/>
    <w:rsid w:val="006E47CC"/>
    <w:rsid w:val="006F45BB"/>
    <w:rsid w:val="006F5F2D"/>
    <w:rsid w:val="0070453D"/>
    <w:rsid w:val="00714834"/>
    <w:rsid w:val="00720B47"/>
    <w:rsid w:val="007229CD"/>
    <w:rsid w:val="00724FC5"/>
    <w:rsid w:val="007328A0"/>
    <w:rsid w:val="0073474A"/>
    <w:rsid w:val="0073765B"/>
    <w:rsid w:val="00746041"/>
    <w:rsid w:val="007462E6"/>
    <w:rsid w:val="00747FFA"/>
    <w:rsid w:val="007556CE"/>
    <w:rsid w:val="00756DA3"/>
    <w:rsid w:val="00760EA7"/>
    <w:rsid w:val="007830A9"/>
    <w:rsid w:val="00787293"/>
    <w:rsid w:val="00787C0E"/>
    <w:rsid w:val="00791B92"/>
    <w:rsid w:val="00791E5B"/>
    <w:rsid w:val="007A0D50"/>
    <w:rsid w:val="007A1E8E"/>
    <w:rsid w:val="007B6121"/>
    <w:rsid w:val="007C3CD5"/>
    <w:rsid w:val="007C4119"/>
    <w:rsid w:val="007D6C34"/>
    <w:rsid w:val="007E3B90"/>
    <w:rsid w:val="007E3CB6"/>
    <w:rsid w:val="007E43E1"/>
    <w:rsid w:val="007E7A12"/>
    <w:rsid w:val="0080130E"/>
    <w:rsid w:val="00804C28"/>
    <w:rsid w:val="00811639"/>
    <w:rsid w:val="00815D01"/>
    <w:rsid w:val="00816092"/>
    <w:rsid w:val="008173A0"/>
    <w:rsid w:val="0082255F"/>
    <w:rsid w:val="00822858"/>
    <w:rsid w:val="00825BFA"/>
    <w:rsid w:val="00840E10"/>
    <w:rsid w:val="00841CC2"/>
    <w:rsid w:val="00842E9F"/>
    <w:rsid w:val="008559A5"/>
    <w:rsid w:val="00857A32"/>
    <w:rsid w:val="008600EB"/>
    <w:rsid w:val="00861BEA"/>
    <w:rsid w:val="008632E4"/>
    <w:rsid w:val="00866702"/>
    <w:rsid w:val="0087119D"/>
    <w:rsid w:val="008713A0"/>
    <w:rsid w:val="008766E4"/>
    <w:rsid w:val="00877158"/>
    <w:rsid w:val="00885C1C"/>
    <w:rsid w:val="008948C9"/>
    <w:rsid w:val="00894F0B"/>
    <w:rsid w:val="00894FE8"/>
    <w:rsid w:val="008A1AEE"/>
    <w:rsid w:val="008B2D64"/>
    <w:rsid w:val="008C390E"/>
    <w:rsid w:val="008D4B07"/>
    <w:rsid w:val="008D6BBF"/>
    <w:rsid w:val="008D7276"/>
    <w:rsid w:val="008E16C5"/>
    <w:rsid w:val="008E7806"/>
    <w:rsid w:val="008F368D"/>
    <w:rsid w:val="008F6578"/>
    <w:rsid w:val="008F6D8E"/>
    <w:rsid w:val="009001EC"/>
    <w:rsid w:val="00901127"/>
    <w:rsid w:val="009110D2"/>
    <w:rsid w:val="00914066"/>
    <w:rsid w:val="00926DA1"/>
    <w:rsid w:val="00931463"/>
    <w:rsid w:val="009339BF"/>
    <w:rsid w:val="009352B1"/>
    <w:rsid w:val="00937259"/>
    <w:rsid w:val="009377B3"/>
    <w:rsid w:val="00943C6F"/>
    <w:rsid w:val="00946771"/>
    <w:rsid w:val="00946886"/>
    <w:rsid w:val="009509EE"/>
    <w:rsid w:val="00953B7F"/>
    <w:rsid w:val="00956725"/>
    <w:rsid w:val="00957B6E"/>
    <w:rsid w:val="0096206D"/>
    <w:rsid w:val="00963182"/>
    <w:rsid w:val="009641DA"/>
    <w:rsid w:val="00975D6C"/>
    <w:rsid w:val="00980CBB"/>
    <w:rsid w:val="00990F98"/>
    <w:rsid w:val="0099113F"/>
    <w:rsid w:val="009960F1"/>
    <w:rsid w:val="009A17DC"/>
    <w:rsid w:val="009A48D4"/>
    <w:rsid w:val="009A7341"/>
    <w:rsid w:val="009A76DA"/>
    <w:rsid w:val="009C1C28"/>
    <w:rsid w:val="009C4C76"/>
    <w:rsid w:val="009C5352"/>
    <w:rsid w:val="009C5C72"/>
    <w:rsid w:val="009C5D88"/>
    <w:rsid w:val="009C6D86"/>
    <w:rsid w:val="009D1D92"/>
    <w:rsid w:val="009D4445"/>
    <w:rsid w:val="009D734F"/>
    <w:rsid w:val="009E0BA4"/>
    <w:rsid w:val="009E4251"/>
    <w:rsid w:val="009E47FB"/>
    <w:rsid w:val="009E5B73"/>
    <w:rsid w:val="009E780F"/>
    <w:rsid w:val="009F4807"/>
    <w:rsid w:val="009F66CC"/>
    <w:rsid w:val="009F7EF9"/>
    <w:rsid w:val="00A040C4"/>
    <w:rsid w:val="00A06648"/>
    <w:rsid w:val="00A11280"/>
    <w:rsid w:val="00A128FF"/>
    <w:rsid w:val="00A23C2B"/>
    <w:rsid w:val="00A264CA"/>
    <w:rsid w:val="00A4071F"/>
    <w:rsid w:val="00A407CE"/>
    <w:rsid w:val="00A4189E"/>
    <w:rsid w:val="00A45BC5"/>
    <w:rsid w:val="00A461CE"/>
    <w:rsid w:val="00A53EA4"/>
    <w:rsid w:val="00A56597"/>
    <w:rsid w:val="00A63364"/>
    <w:rsid w:val="00A660F0"/>
    <w:rsid w:val="00A744A0"/>
    <w:rsid w:val="00A7495D"/>
    <w:rsid w:val="00A75FE1"/>
    <w:rsid w:val="00A7622D"/>
    <w:rsid w:val="00A81304"/>
    <w:rsid w:val="00A819DC"/>
    <w:rsid w:val="00A83693"/>
    <w:rsid w:val="00A85E8C"/>
    <w:rsid w:val="00AA0B08"/>
    <w:rsid w:val="00AA0D03"/>
    <w:rsid w:val="00AA719C"/>
    <w:rsid w:val="00AB26D6"/>
    <w:rsid w:val="00AB3FB5"/>
    <w:rsid w:val="00AC173A"/>
    <w:rsid w:val="00AC26ED"/>
    <w:rsid w:val="00AC6756"/>
    <w:rsid w:val="00AD35CA"/>
    <w:rsid w:val="00AD79CB"/>
    <w:rsid w:val="00AE719D"/>
    <w:rsid w:val="00AE77C7"/>
    <w:rsid w:val="00AF3406"/>
    <w:rsid w:val="00AF384D"/>
    <w:rsid w:val="00AF3E2F"/>
    <w:rsid w:val="00B02044"/>
    <w:rsid w:val="00B12EAD"/>
    <w:rsid w:val="00B1446F"/>
    <w:rsid w:val="00B164BE"/>
    <w:rsid w:val="00B168F0"/>
    <w:rsid w:val="00B16EA0"/>
    <w:rsid w:val="00B20FA2"/>
    <w:rsid w:val="00B2376B"/>
    <w:rsid w:val="00B24170"/>
    <w:rsid w:val="00B2491E"/>
    <w:rsid w:val="00B316E0"/>
    <w:rsid w:val="00B344DE"/>
    <w:rsid w:val="00B4090C"/>
    <w:rsid w:val="00B421B5"/>
    <w:rsid w:val="00B44B36"/>
    <w:rsid w:val="00B518A1"/>
    <w:rsid w:val="00B51B2E"/>
    <w:rsid w:val="00B53FBA"/>
    <w:rsid w:val="00B54097"/>
    <w:rsid w:val="00B54505"/>
    <w:rsid w:val="00B57366"/>
    <w:rsid w:val="00B64F0D"/>
    <w:rsid w:val="00B666FA"/>
    <w:rsid w:val="00B713A2"/>
    <w:rsid w:val="00B743A5"/>
    <w:rsid w:val="00B74B13"/>
    <w:rsid w:val="00B8097A"/>
    <w:rsid w:val="00B9394A"/>
    <w:rsid w:val="00BA6297"/>
    <w:rsid w:val="00BA6870"/>
    <w:rsid w:val="00BB1DAB"/>
    <w:rsid w:val="00BB2C33"/>
    <w:rsid w:val="00BB6BC6"/>
    <w:rsid w:val="00BC0139"/>
    <w:rsid w:val="00BC249A"/>
    <w:rsid w:val="00BC560B"/>
    <w:rsid w:val="00BC5937"/>
    <w:rsid w:val="00BD011A"/>
    <w:rsid w:val="00BD52AD"/>
    <w:rsid w:val="00BD6E95"/>
    <w:rsid w:val="00BD6FE6"/>
    <w:rsid w:val="00BD7C77"/>
    <w:rsid w:val="00BE2A17"/>
    <w:rsid w:val="00BE2EF1"/>
    <w:rsid w:val="00BE72FF"/>
    <w:rsid w:val="00BE7CE7"/>
    <w:rsid w:val="00BE7D57"/>
    <w:rsid w:val="00BF5B70"/>
    <w:rsid w:val="00C051D7"/>
    <w:rsid w:val="00C11B97"/>
    <w:rsid w:val="00C1264E"/>
    <w:rsid w:val="00C16B57"/>
    <w:rsid w:val="00C17533"/>
    <w:rsid w:val="00C25949"/>
    <w:rsid w:val="00C3262C"/>
    <w:rsid w:val="00C41802"/>
    <w:rsid w:val="00C42A67"/>
    <w:rsid w:val="00C42C45"/>
    <w:rsid w:val="00C466ED"/>
    <w:rsid w:val="00C46BC1"/>
    <w:rsid w:val="00C46BF9"/>
    <w:rsid w:val="00C600A5"/>
    <w:rsid w:val="00C6038C"/>
    <w:rsid w:val="00C623C5"/>
    <w:rsid w:val="00C71AED"/>
    <w:rsid w:val="00C7297C"/>
    <w:rsid w:val="00C76165"/>
    <w:rsid w:val="00C763ED"/>
    <w:rsid w:val="00C7725C"/>
    <w:rsid w:val="00C834A8"/>
    <w:rsid w:val="00C83883"/>
    <w:rsid w:val="00C83F3F"/>
    <w:rsid w:val="00C91168"/>
    <w:rsid w:val="00C9241C"/>
    <w:rsid w:val="00C930FA"/>
    <w:rsid w:val="00C953A2"/>
    <w:rsid w:val="00C964F4"/>
    <w:rsid w:val="00CA561C"/>
    <w:rsid w:val="00CA7BAA"/>
    <w:rsid w:val="00CB050D"/>
    <w:rsid w:val="00CB32AA"/>
    <w:rsid w:val="00CB6C0A"/>
    <w:rsid w:val="00CB6F9A"/>
    <w:rsid w:val="00CC6036"/>
    <w:rsid w:val="00CC60D6"/>
    <w:rsid w:val="00CC687B"/>
    <w:rsid w:val="00CC6B83"/>
    <w:rsid w:val="00CC7A3E"/>
    <w:rsid w:val="00CE0622"/>
    <w:rsid w:val="00CE4154"/>
    <w:rsid w:val="00CE4F61"/>
    <w:rsid w:val="00CE64B3"/>
    <w:rsid w:val="00CF10EA"/>
    <w:rsid w:val="00D01CB1"/>
    <w:rsid w:val="00D02A46"/>
    <w:rsid w:val="00D05A88"/>
    <w:rsid w:val="00D07432"/>
    <w:rsid w:val="00D1024E"/>
    <w:rsid w:val="00D10481"/>
    <w:rsid w:val="00D128B5"/>
    <w:rsid w:val="00D16A29"/>
    <w:rsid w:val="00D17C7E"/>
    <w:rsid w:val="00D26D40"/>
    <w:rsid w:val="00D31F92"/>
    <w:rsid w:val="00D32AA7"/>
    <w:rsid w:val="00D3374B"/>
    <w:rsid w:val="00D35F2C"/>
    <w:rsid w:val="00D419FF"/>
    <w:rsid w:val="00D54434"/>
    <w:rsid w:val="00D62F89"/>
    <w:rsid w:val="00D71736"/>
    <w:rsid w:val="00D74988"/>
    <w:rsid w:val="00D8296E"/>
    <w:rsid w:val="00D90847"/>
    <w:rsid w:val="00D967E5"/>
    <w:rsid w:val="00DA033D"/>
    <w:rsid w:val="00DA14AE"/>
    <w:rsid w:val="00DA55BE"/>
    <w:rsid w:val="00DB0E88"/>
    <w:rsid w:val="00DB5FAA"/>
    <w:rsid w:val="00DC21A5"/>
    <w:rsid w:val="00DC2DD3"/>
    <w:rsid w:val="00DC3FD8"/>
    <w:rsid w:val="00DD4BB8"/>
    <w:rsid w:val="00DE1117"/>
    <w:rsid w:val="00DE26D4"/>
    <w:rsid w:val="00DE305B"/>
    <w:rsid w:val="00DE4403"/>
    <w:rsid w:val="00DE7AF2"/>
    <w:rsid w:val="00DF28EF"/>
    <w:rsid w:val="00DF29E4"/>
    <w:rsid w:val="00E00E07"/>
    <w:rsid w:val="00E0178E"/>
    <w:rsid w:val="00E13F35"/>
    <w:rsid w:val="00E1546B"/>
    <w:rsid w:val="00E160AE"/>
    <w:rsid w:val="00E20AE5"/>
    <w:rsid w:val="00E236FF"/>
    <w:rsid w:val="00E278C6"/>
    <w:rsid w:val="00E371F6"/>
    <w:rsid w:val="00E563CC"/>
    <w:rsid w:val="00E56F2C"/>
    <w:rsid w:val="00E6478E"/>
    <w:rsid w:val="00E6634E"/>
    <w:rsid w:val="00E703D6"/>
    <w:rsid w:val="00E76CFC"/>
    <w:rsid w:val="00E8259D"/>
    <w:rsid w:val="00E82D83"/>
    <w:rsid w:val="00E86EF4"/>
    <w:rsid w:val="00E902FC"/>
    <w:rsid w:val="00E90AE9"/>
    <w:rsid w:val="00E97DB8"/>
    <w:rsid w:val="00E97F81"/>
    <w:rsid w:val="00EA679D"/>
    <w:rsid w:val="00EB12BD"/>
    <w:rsid w:val="00EB322A"/>
    <w:rsid w:val="00EB3BC5"/>
    <w:rsid w:val="00EB6CC5"/>
    <w:rsid w:val="00EC2BC3"/>
    <w:rsid w:val="00EE4F2C"/>
    <w:rsid w:val="00F019E3"/>
    <w:rsid w:val="00F14299"/>
    <w:rsid w:val="00F2496E"/>
    <w:rsid w:val="00F24C92"/>
    <w:rsid w:val="00F258CC"/>
    <w:rsid w:val="00F301C2"/>
    <w:rsid w:val="00F314C5"/>
    <w:rsid w:val="00F373DA"/>
    <w:rsid w:val="00F46DDF"/>
    <w:rsid w:val="00F50418"/>
    <w:rsid w:val="00F5113B"/>
    <w:rsid w:val="00F53158"/>
    <w:rsid w:val="00F531CF"/>
    <w:rsid w:val="00F60374"/>
    <w:rsid w:val="00F61814"/>
    <w:rsid w:val="00F66472"/>
    <w:rsid w:val="00F66681"/>
    <w:rsid w:val="00F66CDA"/>
    <w:rsid w:val="00F718F9"/>
    <w:rsid w:val="00F8385D"/>
    <w:rsid w:val="00F84391"/>
    <w:rsid w:val="00F856FB"/>
    <w:rsid w:val="00F85C4C"/>
    <w:rsid w:val="00F93724"/>
    <w:rsid w:val="00F96091"/>
    <w:rsid w:val="00FB023C"/>
    <w:rsid w:val="00FB17BC"/>
    <w:rsid w:val="00FB1E41"/>
    <w:rsid w:val="00FC14FF"/>
    <w:rsid w:val="00FC4A3A"/>
    <w:rsid w:val="00FC6E2D"/>
    <w:rsid w:val="00FD275B"/>
    <w:rsid w:val="00FD689A"/>
    <w:rsid w:val="00FD7749"/>
    <w:rsid w:val="00FD7A09"/>
    <w:rsid w:val="00FE503E"/>
    <w:rsid w:val="00FE62BA"/>
    <w:rsid w:val="00FE6DE1"/>
    <w:rsid w:val="00FF09B8"/>
    <w:rsid w:val="00FF0D6A"/>
    <w:rsid w:val="00FF1D9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68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9DC"/>
  </w:style>
  <w:style w:type="paragraph" w:styleId="Heading1">
    <w:name w:val="heading 1"/>
    <w:basedOn w:val="Normal"/>
    <w:next w:val="Normal"/>
    <w:link w:val="Heading1Char"/>
    <w:qFormat/>
    <w:rsid w:val="00BD52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624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qFormat/>
    <w:rsid w:val="0015504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C76165"/>
  </w:style>
  <w:style w:type="character" w:customStyle="1" w:styleId="rsp">
    <w:name w:val="rsp"/>
    <w:basedOn w:val="DefaultParagraphFont"/>
    <w:rsid w:val="00C76165"/>
  </w:style>
  <w:style w:type="character" w:customStyle="1" w:styleId="norsp">
    <w:name w:val="no_rsp"/>
    <w:basedOn w:val="DefaultParagraphFont"/>
    <w:rsid w:val="00C466ED"/>
  </w:style>
  <w:style w:type="paragraph" w:styleId="BalloonText">
    <w:name w:val="Balloon Text"/>
    <w:basedOn w:val="Normal"/>
    <w:semiHidden/>
    <w:rsid w:val="00AC173A"/>
    <w:rPr>
      <w:rFonts w:ascii="Tahoma" w:hAnsi="Tahoma" w:cs="Tahoma"/>
      <w:sz w:val="16"/>
      <w:szCs w:val="16"/>
    </w:rPr>
  </w:style>
  <w:style w:type="table" w:styleId="TableGrid">
    <w:name w:val="Table Grid"/>
    <w:basedOn w:val="TableNormal"/>
    <w:rsid w:val="004A5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17C7E"/>
    <w:rPr>
      <w:color w:val="0000FF"/>
      <w:u w:val="single"/>
    </w:rPr>
  </w:style>
  <w:style w:type="paragraph" w:styleId="FootnoteText">
    <w:name w:val="footnote text"/>
    <w:basedOn w:val="Normal"/>
    <w:semiHidden/>
    <w:rsid w:val="00D32AA7"/>
    <w:rPr>
      <w:sz w:val="20"/>
      <w:szCs w:val="20"/>
    </w:rPr>
  </w:style>
  <w:style w:type="character" w:styleId="FootnoteReference">
    <w:name w:val="footnote reference"/>
    <w:semiHidden/>
    <w:rsid w:val="00D32AA7"/>
    <w:rPr>
      <w:vertAlign w:val="superscript"/>
    </w:rPr>
  </w:style>
  <w:style w:type="paragraph" w:styleId="Footer">
    <w:name w:val="footer"/>
    <w:basedOn w:val="Normal"/>
    <w:rsid w:val="00567FD8"/>
    <w:pPr>
      <w:tabs>
        <w:tab w:val="center" w:pos="4677"/>
        <w:tab w:val="right" w:pos="9355"/>
      </w:tabs>
    </w:pPr>
  </w:style>
  <w:style w:type="character" w:styleId="PageNumber">
    <w:name w:val="page number"/>
    <w:basedOn w:val="DefaultParagraphFont"/>
    <w:rsid w:val="00567FD8"/>
  </w:style>
  <w:style w:type="paragraph" w:styleId="PlainText">
    <w:name w:val="Plain Text"/>
    <w:basedOn w:val="Normal"/>
    <w:link w:val="PlainTextChar"/>
    <w:unhideWhenUsed/>
    <w:rsid w:val="00FC6E2D"/>
    <w:rPr>
      <w:rFonts w:ascii="Consolas" w:hAnsi="Consolas"/>
      <w:sz w:val="21"/>
      <w:szCs w:val="21"/>
      <w:lang w:eastAsia="x-none"/>
    </w:rPr>
  </w:style>
  <w:style w:type="character" w:customStyle="1" w:styleId="PlainTextChar">
    <w:name w:val="Plain Text Char"/>
    <w:link w:val="PlainText"/>
    <w:rsid w:val="00FC6E2D"/>
    <w:rPr>
      <w:rFonts w:ascii="Consolas" w:hAnsi="Consolas"/>
      <w:sz w:val="21"/>
      <w:szCs w:val="21"/>
      <w:lang w:val="ru-RU"/>
    </w:rPr>
  </w:style>
  <w:style w:type="paragraph" w:styleId="NormalWeb">
    <w:name w:val="Normal (Web)"/>
    <w:basedOn w:val="Normal"/>
    <w:uiPriority w:val="99"/>
    <w:unhideWhenUsed/>
    <w:rsid w:val="000402B6"/>
    <w:pPr>
      <w:spacing w:before="100" w:beforeAutospacing="1" w:after="100" w:afterAutospacing="1"/>
    </w:pPr>
    <w:rPr>
      <w:lang w:val="en-US" w:eastAsia="en-US"/>
    </w:rPr>
  </w:style>
  <w:style w:type="paragraph" w:styleId="ListParagraph">
    <w:name w:val="List Paragraph"/>
    <w:basedOn w:val="Normal"/>
    <w:uiPriority w:val="34"/>
    <w:qFormat/>
    <w:rsid w:val="00F85C4C"/>
    <w:pPr>
      <w:ind w:left="720"/>
    </w:pPr>
  </w:style>
  <w:style w:type="character" w:styleId="CommentReference">
    <w:name w:val="annotation reference"/>
    <w:rsid w:val="00811639"/>
    <w:rPr>
      <w:sz w:val="16"/>
      <w:szCs w:val="16"/>
    </w:rPr>
  </w:style>
  <w:style w:type="paragraph" w:styleId="CommentText">
    <w:name w:val="annotation text"/>
    <w:basedOn w:val="Normal"/>
    <w:link w:val="CommentTextChar"/>
    <w:rsid w:val="00811639"/>
    <w:rPr>
      <w:sz w:val="20"/>
      <w:szCs w:val="20"/>
    </w:rPr>
  </w:style>
  <w:style w:type="character" w:customStyle="1" w:styleId="CommentTextChar">
    <w:name w:val="Comment Text Char"/>
    <w:basedOn w:val="DefaultParagraphFont"/>
    <w:link w:val="CommentText"/>
    <w:rsid w:val="00811639"/>
  </w:style>
  <w:style w:type="paragraph" w:styleId="CommentSubject">
    <w:name w:val="annotation subject"/>
    <w:basedOn w:val="CommentText"/>
    <w:next w:val="CommentText"/>
    <w:link w:val="CommentSubjectChar"/>
    <w:rsid w:val="00811639"/>
    <w:rPr>
      <w:b/>
      <w:bCs/>
      <w:lang w:val="x-none" w:eastAsia="x-none"/>
    </w:rPr>
  </w:style>
  <w:style w:type="character" w:customStyle="1" w:styleId="CommentSubjectChar">
    <w:name w:val="Comment Subject Char"/>
    <w:link w:val="CommentSubject"/>
    <w:rsid w:val="00811639"/>
    <w:rPr>
      <w:b/>
      <w:bCs/>
    </w:rPr>
  </w:style>
  <w:style w:type="character" w:customStyle="1" w:styleId="qlabel">
    <w:name w:val="qlabel"/>
    <w:basedOn w:val="DefaultParagraphFont"/>
    <w:rsid w:val="00135D06"/>
  </w:style>
  <w:style w:type="character" w:customStyle="1" w:styleId="Heading1Char">
    <w:name w:val="Heading 1 Char"/>
    <w:basedOn w:val="DefaultParagraphFont"/>
    <w:link w:val="Heading1"/>
    <w:rsid w:val="00BD52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16245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9DC"/>
  </w:style>
  <w:style w:type="paragraph" w:styleId="Heading1">
    <w:name w:val="heading 1"/>
    <w:basedOn w:val="Normal"/>
    <w:next w:val="Normal"/>
    <w:link w:val="Heading1Char"/>
    <w:qFormat/>
    <w:rsid w:val="00BD52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624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qFormat/>
    <w:rsid w:val="0015504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C76165"/>
  </w:style>
  <w:style w:type="character" w:customStyle="1" w:styleId="rsp">
    <w:name w:val="rsp"/>
    <w:basedOn w:val="DefaultParagraphFont"/>
    <w:rsid w:val="00C76165"/>
  </w:style>
  <w:style w:type="character" w:customStyle="1" w:styleId="norsp">
    <w:name w:val="no_rsp"/>
    <w:basedOn w:val="DefaultParagraphFont"/>
    <w:rsid w:val="00C466ED"/>
  </w:style>
  <w:style w:type="paragraph" w:styleId="BalloonText">
    <w:name w:val="Balloon Text"/>
    <w:basedOn w:val="Normal"/>
    <w:semiHidden/>
    <w:rsid w:val="00AC173A"/>
    <w:rPr>
      <w:rFonts w:ascii="Tahoma" w:hAnsi="Tahoma" w:cs="Tahoma"/>
      <w:sz w:val="16"/>
      <w:szCs w:val="16"/>
    </w:rPr>
  </w:style>
  <w:style w:type="table" w:styleId="TableGrid">
    <w:name w:val="Table Grid"/>
    <w:basedOn w:val="TableNormal"/>
    <w:rsid w:val="004A5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17C7E"/>
    <w:rPr>
      <w:color w:val="0000FF"/>
      <w:u w:val="single"/>
    </w:rPr>
  </w:style>
  <w:style w:type="paragraph" w:styleId="FootnoteText">
    <w:name w:val="footnote text"/>
    <w:basedOn w:val="Normal"/>
    <w:semiHidden/>
    <w:rsid w:val="00D32AA7"/>
    <w:rPr>
      <w:sz w:val="20"/>
      <w:szCs w:val="20"/>
    </w:rPr>
  </w:style>
  <w:style w:type="character" w:styleId="FootnoteReference">
    <w:name w:val="footnote reference"/>
    <w:semiHidden/>
    <w:rsid w:val="00D32AA7"/>
    <w:rPr>
      <w:vertAlign w:val="superscript"/>
    </w:rPr>
  </w:style>
  <w:style w:type="paragraph" w:styleId="Footer">
    <w:name w:val="footer"/>
    <w:basedOn w:val="Normal"/>
    <w:rsid w:val="00567FD8"/>
    <w:pPr>
      <w:tabs>
        <w:tab w:val="center" w:pos="4677"/>
        <w:tab w:val="right" w:pos="9355"/>
      </w:tabs>
    </w:pPr>
  </w:style>
  <w:style w:type="character" w:styleId="PageNumber">
    <w:name w:val="page number"/>
    <w:basedOn w:val="DefaultParagraphFont"/>
    <w:rsid w:val="00567FD8"/>
  </w:style>
  <w:style w:type="paragraph" w:styleId="PlainText">
    <w:name w:val="Plain Text"/>
    <w:basedOn w:val="Normal"/>
    <w:link w:val="PlainTextChar"/>
    <w:unhideWhenUsed/>
    <w:rsid w:val="00FC6E2D"/>
    <w:rPr>
      <w:rFonts w:ascii="Consolas" w:hAnsi="Consolas"/>
      <w:sz w:val="21"/>
      <w:szCs w:val="21"/>
      <w:lang w:eastAsia="x-none"/>
    </w:rPr>
  </w:style>
  <w:style w:type="character" w:customStyle="1" w:styleId="PlainTextChar">
    <w:name w:val="Plain Text Char"/>
    <w:link w:val="PlainText"/>
    <w:rsid w:val="00FC6E2D"/>
    <w:rPr>
      <w:rFonts w:ascii="Consolas" w:hAnsi="Consolas"/>
      <w:sz w:val="21"/>
      <w:szCs w:val="21"/>
      <w:lang w:val="ru-RU"/>
    </w:rPr>
  </w:style>
  <w:style w:type="paragraph" w:styleId="NormalWeb">
    <w:name w:val="Normal (Web)"/>
    <w:basedOn w:val="Normal"/>
    <w:uiPriority w:val="99"/>
    <w:unhideWhenUsed/>
    <w:rsid w:val="000402B6"/>
    <w:pPr>
      <w:spacing w:before="100" w:beforeAutospacing="1" w:after="100" w:afterAutospacing="1"/>
    </w:pPr>
    <w:rPr>
      <w:lang w:val="en-US" w:eastAsia="en-US"/>
    </w:rPr>
  </w:style>
  <w:style w:type="paragraph" w:styleId="ListParagraph">
    <w:name w:val="List Paragraph"/>
    <w:basedOn w:val="Normal"/>
    <w:uiPriority w:val="34"/>
    <w:qFormat/>
    <w:rsid w:val="00F85C4C"/>
    <w:pPr>
      <w:ind w:left="720"/>
    </w:pPr>
  </w:style>
  <w:style w:type="character" w:styleId="CommentReference">
    <w:name w:val="annotation reference"/>
    <w:rsid w:val="00811639"/>
    <w:rPr>
      <w:sz w:val="16"/>
      <w:szCs w:val="16"/>
    </w:rPr>
  </w:style>
  <w:style w:type="paragraph" w:styleId="CommentText">
    <w:name w:val="annotation text"/>
    <w:basedOn w:val="Normal"/>
    <w:link w:val="CommentTextChar"/>
    <w:rsid w:val="00811639"/>
    <w:rPr>
      <w:sz w:val="20"/>
      <w:szCs w:val="20"/>
    </w:rPr>
  </w:style>
  <w:style w:type="character" w:customStyle="1" w:styleId="CommentTextChar">
    <w:name w:val="Comment Text Char"/>
    <w:basedOn w:val="DefaultParagraphFont"/>
    <w:link w:val="CommentText"/>
    <w:rsid w:val="00811639"/>
  </w:style>
  <w:style w:type="paragraph" w:styleId="CommentSubject">
    <w:name w:val="annotation subject"/>
    <w:basedOn w:val="CommentText"/>
    <w:next w:val="CommentText"/>
    <w:link w:val="CommentSubjectChar"/>
    <w:rsid w:val="00811639"/>
    <w:rPr>
      <w:b/>
      <w:bCs/>
      <w:lang w:val="x-none" w:eastAsia="x-none"/>
    </w:rPr>
  </w:style>
  <w:style w:type="character" w:customStyle="1" w:styleId="CommentSubjectChar">
    <w:name w:val="Comment Subject Char"/>
    <w:link w:val="CommentSubject"/>
    <w:rsid w:val="00811639"/>
    <w:rPr>
      <w:b/>
      <w:bCs/>
    </w:rPr>
  </w:style>
  <w:style w:type="character" w:customStyle="1" w:styleId="qlabel">
    <w:name w:val="qlabel"/>
    <w:basedOn w:val="DefaultParagraphFont"/>
    <w:rsid w:val="00135D06"/>
  </w:style>
  <w:style w:type="character" w:customStyle="1" w:styleId="Heading1Char">
    <w:name w:val="Heading 1 Char"/>
    <w:basedOn w:val="DefaultParagraphFont"/>
    <w:link w:val="Heading1"/>
    <w:rsid w:val="00BD52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16245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90">
      <w:bodyDiv w:val="1"/>
      <w:marLeft w:val="0"/>
      <w:marRight w:val="0"/>
      <w:marTop w:val="0"/>
      <w:marBottom w:val="0"/>
      <w:divBdr>
        <w:top w:val="none" w:sz="0" w:space="0" w:color="auto"/>
        <w:left w:val="none" w:sz="0" w:space="0" w:color="auto"/>
        <w:bottom w:val="none" w:sz="0" w:space="0" w:color="auto"/>
        <w:right w:val="none" w:sz="0" w:space="0" w:color="auto"/>
      </w:divBdr>
    </w:div>
    <w:div w:id="5711937">
      <w:bodyDiv w:val="1"/>
      <w:marLeft w:val="0"/>
      <w:marRight w:val="0"/>
      <w:marTop w:val="0"/>
      <w:marBottom w:val="0"/>
      <w:divBdr>
        <w:top w:val="none" w:sz="0" w:space="0" w:color="auto"/>
        <w:left w:val="none" w:sz="0" w:space="0" w:color="auto"/>
        <w:bottom w:val="none" w:sz="0" w:space="0" w:color="auto"/>
        <w:right w:val="none" w:sz="0" w:space="0" w:color="auto"/>
      </w:divBdr>
    </w:div>
    <w:div w:id="20519489">
      <w:bodyDiv w:val="1"/>
      <w:marLeft w:val="0"/>
      <w:marRight w:val="0"/>
      <w:marTop w:val="0"/>
      <w:marBottom w:val="0"/>
      <w:divBdr>
        <w:top w:val="none" w:sz="0" w:space="0" w:color="auto"/>
        <w:left w:val="none" w:sz="0" w:space="0" w:color="auto"/>
        <w:bottom w:val="none" w:sz="0" w:space="0" w:color="auto"/>
        <w:right w:val="none" w:sz="0" w:space="0" w:color="auto"/>
      </w:divBdr>
      <w:divsChild>
        <w:div w:id="69624795">
          <w:marLeft w:val="547"/>
          <w:marRight w:val="0"/>
          <w:marTop w:val="130"/>
          <w:marBottom w:val="0"/>
          <w:divBdr>
            <w:top w:val="none" w:sz="0" w:space="0" w:color="auto"/>
            <w:left w:val="none" w:sz="0" w:space="0" w:color="auto"/>
            <w:bottom w:val="none" w:sz="0" w:space="0" w:color="auto"/>
            <w:right w:val="none" w:sz="0" w:space="0" w:color="auto"/>
          </w:divBdr>
        </w:div>
        <w:div w:id="577862348">
          <w:marLeft w:val="547"/>
          <w:marRight w:val="0"/>
          <w:marTop w:val="130"/>
          <w:marBottom w:val="0"/>
          <w:divBdr>
            <w:top w:val="none" w:sz="0" w:space="0" w:color="auto"/>
            <w:left w:val="none" w:sz="0" w:space="0" w:color="auto"/>
            <w:bottom w:val="none" w:sz="0" w:space="0" w:color="auto"/>
            <w:right w:val="none" w:sz="0" w:space="0" w:color="auto"/>
          </w:divBdr>
        </w:div>
        <w:div w:id="1052994866">
          <w:marLeft w:val="547"/>
          <w:marRight w:val="0"/>
          <w:marTop w:val="130"/>
          <w:marBottom w:val="0"/>
          <w:divBdr>
            <w:top w:val="none" w:sz="0" w:space="0" w:color="auto"/>
            <w:left w:val="none" w:sz="0" w:space="0" w:color="auto"/>
            <w:bottom w:val="none" w:sz="0" w:space="0" w:color="auto"/>
            <w:right w:val="none" w:sz="0" w:space="0" w:color="auto"/>
          </w:divBdr>
        </w:div>
        <w:div w:id="1745301695">
          <w:marLeft w:val="547"/>
          <w:marRight w:val="0"/>
          <w:marTop w:val="130"/>
          <w:marBottom w:val="0"/>
          <w:divBdr>
            <w:top w:val="none" w:sz="0" w:space="0" w:color="auto"/>
            <w:left w:val="none" w:sz="0" w:space="0" w:color="auto"/>
            <w:bottom w:val="none" w:sz="0" w:space="0" w:color="auto"/>
            <w:right w:val="none" w:sz="0" w:space="0" w:color="auto"/>
          </w:divBdr>
        </w:div>
        <w:div w:id="1778792372">
          <w:marLeft w:val="547"/>
          <w:marRight w:val="0"/>
          <w:marTop w:val="130"/>
          <w:marBottom w:val="0"/>
          <w:divBdr>
            <w:top w:val="none" w:sz="0" w:space="0" w:color="auto"/>
            <w:left w:val="none" w:sz="0" w:space="0" w:color="auto"/>
            <w:bottom w:val="none" w:sz="0" w:space="0" w:color="auto"/>
            <w:right w:val="none" w:sz="0" w:space="0" w:color="auto"/>
          </w:divBdr>
        </w:div>
        <w:div w:id="1903327148">
          <w:marLeft w:val="547"/>
          <w:marRight w:val="0"/>
          <w:marTop w:val="130"/>
          <w:marBottom w:val="0"/>
          <w:divBdr>
            <w:top w:val="none" w:sz="0" w:space="0" w:color="auto"/>
            <w:left w:val="none" w:sz="0" w:space="0" w:color="auto"/>
            <w:bottom w:val="none" w:sz="0" w:space="0" w:color="auto"/>
            <w:right w:val="none" w:sz="0" w:space="0" w:color="auto"/>
          </w:divBdr>
        </w:div>
      </w:divsChild>
    </w:div>
    <w:div w:id="88238639">
      <w:bodyDiv w:val="1"/>
      <w:marLeft w:val="0"/>
      <w:marRight w:val="0"/>
      <w:marTop w:val="0"/>
      <w:marBottom w:val="0"/>
      <w:divBdr>
        <w:top w:val="none" w:sz="0" w:space="0" w:color="auto"/>
        <w:left w:val="none" w:sz="0" w:space="0" w:color="auto"/>
        <w:bottom w:val="none" w:sz="0" w:space="0" w:color="auto"/>
        <w:right w:val="none" w:sz="0" w:space="0" w:color="auto"/>
      </w:divBdr>
    </w:div>
    <w:div w:id="143158903">
      <w:bodyDiv w:val="1"/>
      <w:marLeft w:val="0"/>
      <w:marRight w:val="0"/>
      <w:marTop w:val="0"/>
      <w:marBottom w:val="0"/>
      <w:divBdr>
        <w:top w:val="none" w:sz="0" w:space="0" w:color="auto"/>
        <w:left w:val="none" w:sz="0" w:space="0" w:color="auto"/>
        <w:bottom w:val="none" w:sz="0" w:space="0" w:color="auto"/>
        <w:right w:val="none" w:sz="0" w:space="0" w:color="auto"/>
      </w:divBdr>
    </w:div>
    <w:div w:id="162166549">
      <w:bodyDiv w:val="1"/>
      <w:marLeft w:val="0"/>
      <w:marRight w:val="0"/>
      <w:marTop w:val="0"/>
      <w:marBottom w:val="0"/>
      <w:divBdr>
        <w:top w:val="none" w:sz="0" w:space="0" w:color="auto"/>
        <w:left w:val="none" w:sz="0" w:space="0" w:color="auto"/>
        <w:bottom w:val="none" w:sz="0" w:space="0" w:color="auto"/>
        <w:right w:val="none" w:sz="0" w:space="0" w:color="auto"/>
      </w:divBdr>
    </w:div>
    <w:div w:id="162742806">
      <w:bodyDiv w:val="1"/>
      <w:marLeft w:val="0"/>
      <w:marRight w:val="0"/>
      <w:marTop w:val="0"/>
      <w:marBottom w:val="0"/>
      <w:divBdr>
        <w:top w:val="none" w:sz="0" w:space="0" w:color="auto"/>
        <w:left w:val="none" w:sz="0" w:space="0" w:color="auto"/>
        <w:bottom w:val="none" w:sz="0" w:space="0" w:color="auto"/>
        <w:right w:val="none" w:sz="0" w:space="0" w:color="auto"/>
      </w:divBdr>
    </w:div>
    <w:div w:id="190457960">
      <w:bodyDiv w:val="1"/>
      <w:marLeft w:val="0"/>
      <w:marRight w:val="0"/>
      <w:marTop w:val="0"/>
      <w:marBottom w:val="0"/>
      <w:divBdr>
        <w:top w:val="none" w:sz="0" w:space="0" w:color="auto"/>
        <w:left w:val="none" w:sz="0" w:space="0" w:color="auto"/>
        <w:bottom w:val="none" w:sz="0" w:space="0" w:color="auto"/>
        <w:right w:val="none" w:sz="0" w:space="0" w:color="auto"/>
      </w:divBdr>
    </w:div>
    <w:div w:id="212541048">
      <w:bodyDiv w:val="1"/>
      <w:marLeft w:val="0"/>
      <w:marRight w:val="0"/>
      <w:marTop w:val="0"/>
      <w:marBottom w:val="0"/>
      <w:divBdr>
        <w:top w:val="none" w:sz="0" w:space="0" w:color="auto"/>
        <w:left w:val="none" w:sz="0" w:space="0" w:color="auto"/>
        <w:bottom w:val="none" w:sz="0" w:space="0" w:color="auto"/>
        <w:right w:val="none" w:sz="0" w:space="0" w:color="auto"/>
      </w:divBdr>
    </w:div>
    <w:div w:id="223681279">
      <w:bodyDiv w:val="1"/>
      <w:marLeft w:val="0"/>
      <w:marRight w:val="0"/>
      <w:marTop w:val="0"/>
      <w:marBottom w:val="0"/>
      <w:divBdr>
        <w:top w:val="none" w:sz="0" w:space="0" w:color="auto"/>
        <w:left w:val="none" w:sz="0" w:space="0" w:color="auto"/>
        <w:bottom w:val="none" w:sz="0" w:space="0" w:color="auto"/>
        <w:right w:val="none" w:sz="0" w:space="0" w:color="auto"/>
      </w:divBdr>
      <w:divsChild>
        <w:div w:id="2634683">
          <w:marLeft w:val="0"/>
          <w:marRight w:val="0"/>
          <w:marTop w:val="0"/>
          <w:marBottom w:val="0"/>
          <w:divBdr>
            <w:top w:val="none" w:sz="0" w:space="0" w:color="auto"/>
            <w:left w:val="none" w:sz="0" w:space="0" w:color="auto"/>
            <w:bottom w:val="none" w:sz="0" w:space="0" w:color="auto"/>
            <w:right w:val="none" w:sz="0" w:space="0" w:color="auto"/>
          </w:divBdr>
          <w:divsChild>
            <w:div w:id="771512943">
              <w:marLeft w:val="0"/>
              <w:marRight w:val="0"/>
              <w:marTop w:val="0"/>
              <w:marBottom w:val="0"/>
              <w:divBdr>
                <w:top w:val="none" w:sz="0" w:space="0" w:color="auto"/>
                <w:left w:val="none" w:sz="0" w:space="0" w:color="auto"/>
                <w:bottom w:val="none" w:sz="0" w:space="0" w:color="auto"/>
                <w:right w:val="none" w:sz="0" w:space="0" w:color="auto"/>
              </w:divBdr>
            </w:div>
          </w:divsChild>
        </w:div>
        <w:div w:id="29376333">
          <w:marLeft w:val="0"/>
          <w:marRight w:val="0"/>
          <w:marTop w:val="360"/>
          <w:marBottom w:val="0"/>
          <w:divBdr>
            <w:top w:val="none" w:sz="0" w:space="0" w:color="auto"/>
            <w:left w:val="none" w:sz="0" w:space="0" w:color="auto"/>
            <w:bottom w:val="none" w:sz="0" w:space="0" w:color="auto"/>
            <w:right w:val="none" w:sz="0" w:space="0" w:color="auto"/>
          </w:divBdr>
        </w:div>
        <w:div w:id="86461795">
          <w:marLeft w:val="0"/>
          <w:marRight w:val="0"/>
          <w:marTop w:val="0"/>
          <w:marBottom w:val="0"/>
          <w:divBdr>
            <w:top w:val="none" w:sz="0" w:space="0" w:color="auto"/>
            <w:left w:val="none" w:sz="0" w:space="0" w:color="auto"/>
            <w:bottom w:val="none" w:sz="0" w:space="0" w:color="auto"/>
            <w:right w:val="none" w:sz="0" w:space="0" w:color="auto"/>
          </w:divBdr>
          <w:divsChild>
            <w:div w:id="142965802">
              <w:marLeft w:val="0"/>
              <w:marRight w:val="0"/>
              <w:marTop w:val="0"/>
              <w:marBottom w:val="0"/>
              <w:divBdr>
                <w:top w:val="none" w:sz="0" w:space="0" w:color="auto"/>
                <w:left w:val="none" w:sz="0" w:space="0" w:color="auto"/>
                <w:bottom w:val="none" w:sz="0" w:space="0" w:color="auto"/>
                <w:right w:val="none" w:sz="0" w:space="0" w:color="auto"/>
              </w:divBdr>
            </w:div>
          </w:divsChild>
        </w:div>
        <w:div w:id="100615559">
          <w:marLeft w:val="0"/>
          <w:marRight w:val="0"/>
          <w:marTop w:val="0"/>
          <w:marBottom w:val="0"/>
          <w:divBdr>
            <w:top w:val="none" w:sz="0" w:space="0" w:color="auto"/>
            <w:left w:val="none" w:sz="0" w:space="0" w:color="auto"/>
            <w:bottom w:val="none" w:sz="0" w:space="0" w:color="auto"/>
            <w:right w:val="none" w:sz="0" w:space="0" w:color="auto"/>
          </w:divBdr>
        </w:div>
        <w:div w:id="151217108">
          <w:marLeft w:val="0"/>
          <w:marRight w:val="0"/>
          <w:marTop w:val="0"/>
          <w:marBottom w:val="0"/>
          <w:divBdr>
            <w:top w:val="none" w:sz="0" w:space="0" w:color="auto"/>
            <w:left w:val="none" w:sz="0" w:space="0" w:color="auto"/>
            <w:bottom w:val="none" w:sz="0" w:space="0" w:color="auto"/>
            <w:right w:val="none" w:sz="0" w:space="0" w:color="auto"/>
          </w:divBdr>
          <w:divsChild>
            <w:div w:id="459809895">
              <w:marLeft w:val="0"/>
              <w:marRight w:val="0"/>
              <w:marTop w:val="0"/>
              <w:marBottom w:val="0"/>
              <w:divBdr>
                <w:top w:val="none" w:sz="0" w:space="0" w:color="auto"/>
                <w:left w:val="none" w:sz="0" w:space="0" w:color="auto"/>
                <w:bottom w:val="none" w:sz="0" w:space="0" w:color="auto"/>
                <w:right w:val="none" w:sz="0" w:space="0" w:color="auto"/>
              </w:divBdr>
            </w:div>
          </w:divsChild>
        </w:div>
        <w:div w:id="167208712">
          <w:marLeft w:val="0"/>
          <w:marRight w:val="0"/>
          <w:marTop w:val="0"/>
          <w:marBottom w:val="0"/>
          <w:divBdr>
            <w:top w:val="none" w:sz="0" w:space="0" w:color="auto"/>
            <w:left w:val="none" w:sz="0" w:space="0" w:color="auto"/>
            <w:bottom w:val="none" w:sz="0" w:space="0" w:color="auto"/>
            <w:right w:val="none" w:sz="0" w:space="0" w:color="auto"/>
          </w:divBdr>
          <w:divsChild>
            <w:div w:id="973607904">
              <w:marLeft w:val="0"/>
              <w:marRight w:val="0"/>
              <w:marTop w:val="0"/>
              <w:marBottom w:val="0"/>
              <w:divBdr>
                <w:top w:val="none" w:sz="0" w:space="0" w:color="auto"/>
                <w:left w:val="none" w:sz="0" w:space="0" w:color="auto"/>
                <w:bottom w:val="none" w:sz="0" w:space="0" w:color="auto"/>
                <w:right w:val="none" w:sz="0" w:space="0" w:color="auto"/>
              </w:divBdr>
            </w:div>
          </w:divsChild>
        </w:div>
        <w:div w:id="254630567">
          <w:marLeft w:val="0"/>
          <w:marRight w:val="0"/>
          <w:marTop w:val="360"/>
          <w:marBottom w:val="0"/>
          <w:divBdr>
            <w:top w:val="none" w:sz="0" w:space="0" w:color="auto"/>
            <w:left w:val="none" w:sz="0" w:space="0" w:color="auto"/>
            <w:bottom w:val="none" w:sz="0" w:space="0" w:color="auto"/>
            <w:right w:val="none" w:sz="0" w:space="0" w:color="auto"/>
          </w:divBdr>
        </w:div>
        <w:div w:id="307593122">
          <w:marLeft w:val="0"/>
          <w:marRight w:val="0"/>
          <w:marTop w:val="360"/>
          <w:marBottom w:val="0"/>
          <w:divBdr>
            <w:top w:val="none" w:sz="0" w:space="0" w:color="auto"/>
            <w:left w:val="none" w:sz="0" w:space="0" w:color="auto"/>
            <w:bottom w:val="none" w:sz="0" w:space="0" w:color="auto"/>
            <w:right w:val="none" w:sz="0" w:space="0" w:color="auto"/>
          </w:divBdr>
        </w:div>
        <w:div w:id="326204641">
          <w:marLeft w:val="0"/>
          <w:marRight w:val="0"/>
          <w:marTop w:val="0"/>
          <w:marBottom w:val="0"/>
          <w:divBdr>
            <w:top w:val="none" w:sz="0" w:space="0" w:color="auto"/>
            <w:left w:val="none" w:sz="0" w:space="0" w:color="auto"/>
            <w:bottom w:val="none" w:sz="0" w:space="0" w:color="auto"/>
            <w:right w:val="none" w:sz="0" w:space="0" w:color="auto"/>
          </w:divBdr>
          <w:divsChild>
            <w:div w:id="467742487">
              <w:marLeft w:val="0"/>
              <w:marRight w:val="0"/>
              <w:marTop w:val="0"/>
              <w:marBottom w:val="0"/>
              <w:divBdr>
                <w:top w:val="none" w:sz="0" w:space="0" w:color="auto"/>
                <w:left w:val="none" w:sz="0" w:space="0" w:color="auto"/>
                <w:bottom w:val="none" w:sz="0" w:space="0" w:color="auto"/>
                <w:right w:val="none" w:sz="0" w:space="0" w:color="auto"/>
              </w:divBdr>
            </w:div>
          </w:divsChild>
        </w:div>
        <w:div w:id="334959794">
          <w:marLeft w:val="0"/>
          <w:marRight w:val="0"/>
          <w:marTop w:val="360"/>
          <w:marBottom w:val="0"/>
          <w:divBdr>
            <w:top w:val="none" w:sz="0" w:space="0" w:color="auto"/>
            <w:left w:val="none" w:sz="0" w:space="0" w:color="auto"/>
            <w:bottom w:val="none" w:sz="0" w:space="0" w:color="auto"/>
            <w:right w:val="none" w:sz="0" w:space="0" w:color="auto"/>
          </w:divBdr>
        </w:div>
        <w:div w:id="365183559">
          <w:marLeft w:val="0"/>
          <w:marRight w:val="0"/>
          <w:marTop w:val="0"/>
          <w:marBottom w:val="0"/>
          <w:divBdr>
            <w:top w:val="none" w:sz="0" w:space="0" w:color="auto"/>
            <w:left w:val="none" w:sz="0" w:space="0" w:color="auto"/>
            <w:bottom w:val="none" w:sz="0" w:space="0" w:color="auto"/>
            <w:right w:val="none" w:sz="0" w:space="0" w:color="auto"/>
          </w:divBdr>
          <w:divsChild>
            <w:div w:id="1776512205">
              <w:marLeft w:val="0"/>
              <w:marRight w:val="0"/>
              <w:marTop w:val="0"/>
              <w:marBottom w:val="0"/>
              <w:divBdr>
                <w:top w:val="none" w:sz="0" w:space="0" w:color="auto"/>
                <w:left w:val="none" w:sz="0" w:space="0" w:color="auto"/>
                <w:bottom w:val="none" w:sz="0" w:space="0" w:color="auto"/>
                <w:right w:val="none" w:sz="0" w:space="0" w:color="auto"/>
              </w:divBdr>
            </w:div>
          </w:divsChild>
        </w:div>
        <w:div w:id="496576857">
          <w:marLeft w:val="0"/>
          <w:marRight w:val="0"/>
          <w:marTop w:val="0"/>
          <w:marBottom w:val="0"/>
          <w:divBdr>
            <w:top w:val="none" w:sz="0" w:space="0" w:color="auto"/>
            <w:left w:val="none" w:sz="0" w:space="0" w:color="auto"/>
            <w:bottom w:val="none" w:sz="0" w:space="0" w:color="auto"/>
            <w:right w:val="none" w:sz="0" w:space="0" w:color="auto"/>
          </w:divBdr>
          <w:divsChild>
            <w:div w:id="112873128">
              <w:marLeft w:val="0"/>
              <w:marRight w:val="0"/>
              <w:marTop w:val="0"/>
              <w:marBottom w:val="0"/>
              <w:divBdr>
                <w:top w:val="none" w:sz="0" w:space="0" w:color="auto"/>
                <w:left w:val="none" w:sz="0" w:space="0" w:color="auto"/>
                <w:bottom w:val="none" w:sz="0" w:space="0" w:color="auto"/>
                <w:right w:val="none" w:sz="0" w:space="0" w:color="auto"/>
              </w:divBdr>
            </w:div>
          </w:divsChild>
        </w:div>
        <w:div w:id="512309069">
          <w:marLeft w:val="0"/>
          <w:marRight w:val="0"/>
          <w:marTop w:val="360"/>
          <w:marBottom w:val="0"/>
          <w:divBdr>
            <w:top w:val="none" w:sz="0" w:space="0" w:color="auto"/>
            <w:left w:val="none" w:sz="0" w:space="0" w:color="auto"/>
            <w:bottom w:val="none" w:sz="0" w:space="0" w:color="auto"/>
            <w:right w:val="none" w:sz="0" w:space="0" w:color="auto"/>
          </w:divBdr>
        </w:div>
        <w:div w:id="515995636">
          <w:marLeft w:val="0"/>
          <w:marRight w:val="0"/>
          <w:marTop w:val="0"/>
          <w:marBottom w:val="0"/>
          <w:divBdr>
            <w:top w:val="none" w:sz="0" w:space="0" w:color="auto"/>
            <w:left w:val="none" w:sz="0" w:space="0" w:color="auto"/>
            <w:bottom w:val="none" w:sz="0" w:space="0" w:color="auto"/>
            <w:right w:val="none" w:sz="0" w:space="0" w:color="auto"/>
          </w:divBdr>
          <w:divsChild>
            <w:div w:id="204677366">
              <w:marLeft w:val="0"/>
              <w:marRight w:val="0"/>
              <w:marTop w:val="0"/>
              <w:marBottom w:val="0"/>
              <w:divBdr>
                <w:top w:val="none" w:sz="0" w:space="0" w:color="auto"/>
                <w:left w:val="none" w:sz="0" w:space="0" w:color="auto"/>
                <w:bottom w:val="none" w:sz="0" w:space="0" w:color="auto"/>
                <w:right w:val="none" w:sz="0" w:space="0" w:color="auto"/>
              </w:divBdr>
            </w:div>
          </w:divsChild>
        </w:div>
        <w:div w:id="609817568">
          <w:marLeft w:val="0"/>
          <w:marRight w:val="0"/>
          <w:marTop w:val="0"/>
          <w:marBottom w:val="0"/>
          <w:divBdr>
            <w:top w:val="none" w:sz="0" w:space="0" w:color="auto"/>
            <w:left w:val="none" w:sz="0" w:space="0" w:color="auto"/>
            <w:bottom w:val="none" w:sz="0" w:space="0" w:color="auto"/>
            <w:right w:val="none" w:sz="0" w:space="0" w:color="auto"/>
          </w:divBdr>
          <w:divsChild>
            <w:div w:id="178589541">
              <w:marLeft w:val="0"/>
              <w:marRight w:val="0"/>
              <w:marTop w:val="0"/>
              <w:marBottom w:val="0"/>
              <w:divBdr>
                <w:top w:val="none" w:sz="0" w:space="0" w:color="auto"/>
                <w:left w:val="none" w:sz="0" w:space="0" w:color="auto"/>
                <w:bottom w:val="none" w:sz="0" w:space="0" w:color="auto"/>
                <w:right w:val="none" w:sz="0" w:space="0" w:color="auto"/>
              </w:divBdr>
            </w:div>
          </w:divsChild>
        </w:div>
        <w:div w:id="638464413">
          <w:marLeft w:val="0"/>
          <w:marRight w:val="0"/>
          <w:marTop w:val="240"/>
          <w:marBottom w:val="0"/>
          <w:divBdr>
            <w:top w:val="none" w:sz="0" w:space="0" w:color="auto"/>
            <w:left w:val="none" w:sz="0" w:space="0" w:color="auto"/>
            <w:bottom w:val="none" w:sz="0" w:space="0" w:color="auto"/>
            <w:right w:val="none" w:sz="0" w:space="0" w:color="auto"/>
          </w:divBdr>
          <w:divsChild>
            <w:div w:id="2146117652">
              <w:marLeft w:val="0"/>
              <w:marRight w:val="0"/>
              <w:marTop w:val="0"/>
              <w:marBottom w:val="0"/>
              <w:divBdr>
                <w:top w:val="none" w:sz="0" w:space="0" w:color="auto"/>
                <w:left w:val="none" w:sz="0" w:space="0" w:color="auto"/>
                <w:bottom w:val="none" w:sz="0" w:space="0" w:color="auto"/>
                <w:right w:val="none" w:sz="0" w:space="0" w:color="auto"/>
              </w:divBdr>
            </w:div>
          </w:divsChild>
        </w:div>
        <w:div w:id="709846090">
          <w:marLeft w:val="0"/>
          <w:marRight w:val="0"/>
          <w:marTop w:val="0"/>
          <w:marBottom w:val="0"/>
          <w:divBdr>
            <w:top w:val="none" w:sz="0" w:space="0" w:color="auto"/>
            <w:left w:val="none" w:sz="0" w:space="0" w:color="auto"/>
            <w:bottom w:val="none" w:sz="0" w:space="0" w:color="auto"/>
            <w:right w:val="none" w:sz="0" w:space="0" w:color="auto"/>
          </w:divBdr>
          <w:divsChild>
            <w:div w:id="1959141486">
              <w:marLeft w:val="0"/>
              <w:marRight w:val="0"/>
              <w:marTop w:val="0"/>
              <w:marBottom w:val="0"/>
              <w:divBdr>
                <w:top w:val="none" w:sz="0" w:space="0" w:color="auto"/>
                <w:left w:val="none" w:sz="0" w:space="0" w:color="auto"/>
                <w:bottom w:val="none" w:sz="0" w:space="0" w:color="auto"/>
                <w:right w:val="none" w:sz="0" w:space="0" w:color="auto"/>
              </w:divBdr>
            </w:div>
          </w:divsChild>
        </w:div>
        <w:div w:id="791900174">
          <w:marLeft w:val="0"/>
          <w:marRight w:val="0"/>
          <w:marTop w:val="0"/>
          <w:marBottom w:val="0"/>
          <w:divBdr>
            <w:top w:val="none" w:sz="0" w:space="0" w:color="auto"/>
            <w:left w:val="none" w:sz="0" w:space="0" w:color="auto"/>
            <w:bottom w:val="none" w:sz="0" w:space="0" w:color="auto"/>
            <w:right w:val="none" w:sz="0" w:space="0" w:color="auto"/>
          </w:divBdr>
          <w:divsChild>
            <w:div w:id="12845955">
              <w:marLeft w:val="0"/>
              <w:marRight w:val="0"/>
              <w:marTop w:val="0"/>
              <w:marBottom w:val="0"/>
              <w:divBdr>
                <w:top w:val="none" w:sz="0" w:space="0" w:color="auto"/>
                <w:left w:val="none" w:sz="0" w:space="0" w:color="auto"/>
                <w:bottom w:val="none" w:sz="0" w:space="0" w:color="auto"/>
                <w:right w:val="none" w:sz="0" w:space="0" w:color="auto"/>
              </w:divBdr>
            </w:div>
          </w:divsChild>
        </w:div>
        <w:div w:id="935289881">
          <w:marLeft w:val="0"/>
          <w:marRight w:val="0"/>
          <w:marTop w:val="0"/>
          <w:marBottom w:val="0"/>
          <w:divBdr>
            <w:top w:val="none" w:sz="0" w:space="0" w:color="auto"/>
            <w:left w:val="none" w:sz="0" w:space="0" w:color="auto"/>
            <w:bottom w:val="none" w:sz="0" w:space="0" w:color="auto"/>
            <w:right w:val="none" w:sz="0" w:space="0" w:color="auto"/>
          </w:divBdr>
          <w:divsChild>
            <w:div w:id="1349134697">
              <w:marLeft w:val="0"/>
              <w:marRight w:val="0"/>
              <w:marTop w:val="0"/>
              <w:marBottom w:val="0"/>
              <w:divBdr>
                <w:top w:val="none" w:sz="0" w:space="0" w:color="auto"/>
                <w:left w:val="none" w:sz="0" w:space="0" w:color="auto"/>
                <w:bottom w:val="none" w:sz="0" w:space="0" w:color="auto"/>
                <w:right w:val="none" w:sz="0" w:space="0" w:color="auto"/>
              </w:divBdr>
            </w:div>
          </w:divsChild>
        </w:div>
        <w:div w:id="979074357">
          <w:marLeft w:val="0"/>
          <w:marRight w:val="0"/>
          <w:marTop w:val="0"/>
          <w:marBottom w:val="0"/>
          <w:divBdr>
            <w:top w:val="none" w:sz="0" w:space="0" w:color="auto"/>
            <w:left w:val="none" w:sz="0" w:space="0" w:color="auto"/>
            <w:bottom w:val="none" w:sz="0" w:space="0" w:color="auto"/>
            <w:right w:val="none" w:sz="0" w:space="0" w:color="auto"/>
          </w:divBdr>
          <w:divsChild>
            <w:div w:id="1695301658">
              <w:marLeft w:val="0"/>
              <w:marRight w:val="0"/>
              <w:marTop w:val="0"/>
              <w:marBottom w:val="0"/>
              <w:divBdr>
                <w:top w:val="none" w:sz="0" w:space="0" w:color="auto"/>
                <w:left w:val="none" w:sz="0" w:space="0" w:color="auto"/>
                <w:bottom w:val="none" w:sz="0" w:space="0" w:color="auto"/>
                <w:right w:val="none" w:sz="0" w:space="0" w:color="auto"/>
              </w:divBdr>
            </w:div>
          </w:divsChild>
        </w:div>
        <w:div w:id="984554595">
          <w:marLeft w:val="0"/>
          <w:marRight w:val="0"/>
          <w:marTop w:val="0"/>
          <w:marBottom w:val="0"/>
          <w:divBdr>
            <w:top w:val="none" w:sz="0" w:space="0" w:color="auto"/>
            <w:left w:val="none" w:sz="0" w:space="0" w:color="auto"/>
            <w:bottom w:val="none" w:sz="0" w:space="0" w:color="auto"/>
            <w:right w:val="none" w:sz="0" w:space="0" w:color="auto"/>
          </w:divBdr>
        </w:div>
        <w:div w:id="1063412886">
          <w:marLeft w:val="0"/>
          <w:marRight w:val="0"/>
          <w:marTop w:val="0"/>
          <w:marBottom w:val="0"/>
          <w:divBdr>
            <w:top w:val="none" w:sz="0" w:space="0" w:color="auto"/>
            <w:left w:val="none" w:sz="0" w:space="0" w:color="auto"/>
            <w:bottom w:val="none" w:sz="0" w:space="0" w:color="auto"/>
            <w:right w:val="none" w:sz="0" w:space="0" w:color="auto"/>
          </w:divBdr>
          <w:divsChild>
            <w:div w:id="1934894735">
              <w:marLeft w:val="0"/>
              <w:marRight w:val="0"/>
              <w:marTop w:val="0"/>
              <w:marBottom w:val="0"/>
              <w:divBdr>
                <w:top w:val="none" w:sz="0" w:space="0" w:color="auto"/>
                <w:left w:val="none" w:sz="0" w:space="0" w:color="auto"/>
                <w:bottom w:val="none" w:sz="0" w:space="0" w:color="auto"/>
                <w:right w:val="none" w:sz="0" w:space="0" w:color="auto"/>
              </w:divBdr>
            </w:div>
          </w:divsChild>
        </w:div>
        <w:div w:id="1085226826">
          <w:marLeft w:val="0"/>
          <w:marRight w:val="0"/>
          <w:marTop w:val="360"/>
          <w:marBottom w:val="0"/>
          <w:divBdr>
            <w:top w:val="none" w:sz="0" w:space="0" w:color="auto"/>
            <w:left w:val="none" w:sz="0" w:space="0" w:color="auto"/>
            <w:bottom w:val="none" w:sz="0" w:space="0" w:color="auto"/>
            <w:right w:val="none" w:sz="0" w:space="0" w:color="auto"/>
          </w:divBdr>
        </w:div>
        <w:div w:id="1126116657">
          <w:marLeft w:val="0"/>
          <w:marRight w:val="0"/>
          <w:marTop w:val="0"/>
          <w:marBottom w:val="0"/>
          <w:divBdr>
            <w:top w:val="none" w:sz="0" w:space="0" w:color="auto"/>
            <w:left w:val="none" w:sz="0" w:space="0" w:color="auto"/>
            <w:bottom w:val="none" w:sz="0" w:space="0" w:color="auto"/>
            <w:right w:val="none" w:sz="0" w:space="0" w:color="auto"/>
          </w:divBdr>
        </w:div>
        <w:div w:id="1130444157">
          <w:marLeft w:val="0"/>
          <w:marRight w:val="0"/>
          <w:marTop w:val="360"/>
          <w:marBottom w:val="0"/>
          <w:divBdr>
            <w:top w:val="none" w:sz="0" w:space="0" w:color="auto"/>
            <w:left w:val="none" w:sz="0" w:space="0" w:color="auto"/>
            <w:bottom w:val="none" w:sz="0" w:space="0" w:color="auto"/>
            <w:right w:val="none" w:sz="0" w:space="0" w:color="auto"/>
          </w:divBdr>
        </w:div>
        <w:div w:id="1139415828">
          <w:marLeft w:val="0"/>
          <w:marRight w:val="0"/>
          <w:marTop w:val="0"/>
          <w:marBottom w:val="0"/>
          <w:divBdr>
            <w:top w:val="none" w:sz="0" w:space="0" w:color="auto"/>
            <w:left w:val="none" w:sz="0" w:space="0" w:color="auto"/>
            <w:bottom w:val="none" w:sz="0" w:space="0" w:color="auto"/>
            <w:right w:val="none" w:sz="0" w:space="0" w:color="auto"/>
          </w:divBdr>
          <w:divsChild>
            <w:div w:id="316762548">
              <w:marLeft w:val="0"/>
              <w:marRight w:val="0"/>
              <w:marTop w:val="0"/>
              <w:marBottom w:val="0"/>
              <w:divBdr>
                <w:top w:val="none" w:sz="0" w:space="0" w:color="auto"/>
                <w:left w:val="none" w:sz="0" w:space="0" w:color="auto"/>
                <w:bottom w:val="none" w:sz="0" w:space="0" w:color="auto"/>
                <w:right w:val="none" w:sz="0" w:space="0" w:color="auto"/>
              </w:divBdr>
            </w:div>
          </w:divsChild>
        </w:div>
        <w:div w:id="1148328819">
          <w:marLeft w:val="0"/>
          <w:marRight w:val="0"/>
          <w:marTop w:val="0"/>
          <w:marBottom w:val="0"/>
          <w:divBdr>
            <w:top w:val="none" w:sz="0" w:space="0" w:color="auto"/>
            <w:left w:val="none" w:sz="0" w:space="0" w:color="auto"/>
            <w:bottom w:val="none" w:sz="0" w:space="0" w:color="auto"/>
            <w:right w:val="none" w:sz="0" w:space="0" w:color="auto"/>
          </w:divBdr>
          <w:divsChild>
            <w:div w:id="62262348">
              <w:marLeft w:val="0"/>
              <w:marRight w:val="0"/>
              <w:marTop w:val="0"/>
              <w:marBottom w:val="0"/>
              <w:divBdr>
                <w:top w:val="none" w:sz="0" w:space="0" w:color="auto"/>
                <w:left w:val="none" w:sz="0" w:space="0" w:color="auto"/>
                <w:bottom w:val="none" w:sz="0" w:space="0" w:color="auto"/>
                <w:right w:val="none" w:sz="0" w:space="0" w:color="auto"/>
              </w:divBdr>
            </w:div>
          </w:divsChild>
        </w:div>
        <w:div w:id="1157038759">
          <w:marLeft w:val="0"/>
          <w:marRight w:val="0"/>
          <w:marTop w:val="0"/>
          <w:marBottom w:val="0"/>
          <w:divBdr>
            <w:top w:val="none" w:sz="0" w:space="0" w:color="auto"/>
            <w:left w:val="none" w:sz="0" w:space="0" w:color="auto"/>
            <w:bottom w:val="none" w:sz="0" w:space="0" w:color="auto"/>
            <w:right w:val="none" w:sz="0" w:space="0" w:color="auto"/>
          </w:divBdr>
        </w:div>
        <w:div w:id="1173757881">
          <w:marLeft w:val="0"/>
          <w:marRight w:val="0"/>
          <w:marTop w:val="0"/>
          <w:marBottom w:val="0"/>
          <w:divBdr>
            <w:top w:val="none" w:sz="0" w:space="0" w:color="auto"/>
            <w:left w:val="none" w:sz="0" w:space="0" w:color="auto"/>
            <w:bottom w:val="none" w:sz="0" w:space="0" w:color="auto"/>
            <w:right w:val="none" w:sz="0" w:space="0" w:color="auto"/>
          </w:divBdr>
          <w:divsChild>
            <w:div w:id="640307811">
              <w:marLeft w:val="0"/>
              <w:marRight w:val="0"/>
              <w:marTop w:val="0"/>
              <w:marBottom w:val="0"/>
              <w:divBdr>
                <w:top w:val="none" w:sz="0" w:space="0" w:color="auto"/>
                <w:left w:val="none" w:sz="0" w:space="0" w:color="auto"/>
                <w:bottom w:val="none" w:sz="0" w:space="0" w:color="auto"/>
                <w:right w:val="none" w:sz="0" w:space="0" w:color="auto"/>
              </w:divBdr>
            </w:div>
          </w:divsChild>
        </w:div>
        <w:div w:id="1207982931">
          <w:marLeft w:val="0"/>
          <w:marRight w:val="0"/>
          <w:marTop w:val="0"/>
          <w:marBottom w:val="0"/>
          <w:divBdr>
            <w:top w:val="none" w:sz="0" w:space="0" w:color="auto"/>
            <w:left w:val="none" w:sz="0" w:space="0" w:color="auto"/>
            <w:bottom w:val="none" w:sz="0" w:space="0" w:color="auto"/>
            <w:right w:val="none" w:sz="0" w:space="0" w:color="auto"/>
          </w:divBdr>
          <w:divsChild>
            <w:div w:id="1663118704">
              <w:marLeft w:val="0"/>
              <w:marRight w:val="0"/>
              <w:marTop w:val="0"/>
              <w:marBottom w:val="0"/>
              <w:divBdr>
                <w:top w:val="none" w:sz="0" w:space="0" w:color="auto"/>
                <w:left w:val="none" w:sz="0" w:space="0" w:color="auto"/>
                <w:bottom w:val="none" w:sz="0" w:space="0" w:color="auto"/>
                <w:right w:val="none" w:sz="0" w:space="0" w:color="auto"/>
              </w:divBdr>
            </w:div>
          </w:divsChild>
        </w:div>
        <w:div w:id="1330862045">
          <w:marLeft w:val="0"/>
          <w:marRight w:val="0"/>
          <w:marTop w:val="0"/>
          <w:marBottom w:val="0"/>
          <w:divBdr>
            <w:top w:val="none" w:sz="0" w:space="0" w:color="auto"/>
            <w:left w:val="none" w:sz="0" w:space="0" w:color="auto"/>
            <w:bottom w:val="none" w:sz="0" w:space="0" w:color="auto"/>
            <w:right w:val="none" w:sz="0" w:space="0" w:color="auto"/>
          </w:divBdr>
          <w:divsChild>
            <w:div w:id="596911993">
              <w:marLeft w:val="0"/>
              <w:marRight w:val="0"/>
              <w:marTop w:val="0"/>
              <w:marBottom w:val="0"/>
              <w:divBdr>
                <w:top w:val="none" w:sz="0" w:space="0" w:color="auto"/>
                <w:left w:val="none" w:sz="0" w:space="0" w:color="auto"/>
                <w:bottom w:val="none" w:sz="0" w:space="0" w:color="auto"/>
                <w:right w:val="none" w:sz="0" w:space="0" w:color="auto"/>
              </w:divBdr>
            </w:div>
          </w:divsChild>
        </w:div>
        <w:div w:id="1341545983">
          <w:marLeft w:val="0"/>
          <w:marRight w:val="0"/>
          <w:marTop w:val="0"/>
          <w:marBottom w:val="0"/>
          <w:divBdr>
            <w:top w:val="none" w:sz="0" w:space="0" w:color="auto"/>
            <w:left w:val="none" w:sz="0" w:space="0" w:color="auto"/>
            <w:bottom w:val="none" w:sz="0" w:space="0" w:color="auto"/>
            <w:right w:val="none" w:sz="0" w:space="0" w:color="auto"/>
          </w:divBdr>
          <w:divsChild>
            <w:div w:id="427237063">
              <w:marLeft w:val="0"/>
              <w:marRight w:val="0"/>
              <w:marTop w:val="0"/>
              <w:marBottom w:val="0"/>
              <w:divBdr>
                <w:top w:val="none" w:sz="0" w:space="0" w:color="auto"/>
                <w:left w:val="none" w:sz="0" w:space="0" w:color="auto"/>
                <w:bottom w:val="none" w:sz="0" w:space="0" w:color="auto"/>
                <w:right w:val="none" w:sz="0" w:space="0" w:color="auto"/>
              </w:divBdr>
            </w:div>
          </w:divsChild>
        </w:div>
        <w:div w:id="1349987708">
          <w:marLeft w:val="0"/>
          <w:marRight w:val="0"/>
          <w:marTop w:val="0"/>
          <w:marBottom w:val="0"/>
          <w:divBdr>
            <w:top w:val="none" w:sz="0" w:space="0" w:color="auto"/>
            <w:left w:val="none" w:sz="0" w:space="0" w:color="auto"/>
            <w:bottom w:val="none" w:sz="0" w:space="0" w:color="auto"/>
            <w:right w:val="none" w:sz="0" w:space="0" w:color="auto"/>
          </w:divBdr>
          <w:divsChild>
            <w:div w:id="287854263">
              <w:marLeft w:val="0"/>
              <w:marRight w:val="0"/>
              <w:marTop w:val="0"/>
              <w:marBottom w:val="0"/>
              <w:divBdr>
                <w:top w:val="none" w:sz="0" w:space="0" w:color="auto"/>
                <w:left w:val="none" w:sz="0" w:space="0" w:color="auto"/>
                <w:bottom w:val="none" w:sz="0" w:space="0" w:color="auto"/>
                <w:right w:val="none" w:sz="0" w:space="0" w:color="auto"/>
              </w:divBdr>
            </w:div>
          </w:divsChild>
        </w:div>
        <w:div w:id="1448158437">
          <w:marLeft w:val="0"/>
          <w:marRight w:val="0"/>
          <w:marTop w:val="360"/>
          <w:marBottom w:val="0"/>
          <w:divBdr>
            <w:top w:val="none" w:sz="0" w:space="0" w:color="auto"/>
            <w:left w:val="none" w:sz="0" w:space="0" w:color="auto"/>
            <w:bottom w:val="none" w:sz="0" w:space="0" w:color="auto"/>
            <w:right w:val="none" w:sz="0" w:space="0" w:color="auto"/>
          </w:divBdr>
        </w:div>
        <w:div w:id="1569221102">
          <w:marLeft w:val="0"/>
          <w:marRight w:val="0"/>
          <w:marTop w:val="0"/>
          <w:marBottom w:val="0"/>
          <w:divBdr>
            <w:top w:val="none" w:sz="0" w:space="0" w:color="auto"/>
            <w:left w:val="none" w:sz="0" w:space="0" w:color="auto"/>
            <w:bottom w:val="none" w:sz="0" w:space="0" w:color="auto"/>
            <w:right w:val="none" w:sz="0" w:space="0" w:color="auto"/>
          </w:divBdr>
          <w:divsChild>
            <w:div w:id="1763377848">
              <w:marLeft w:val="0"/>
              <w:marRight w:val="0"/>
              <w:marTop w:val="0"/>
              <w:marBottom w:val="0"/>
              <w:divBdr>
                <w:top w:val="none" w:sz="0" w:space="0" w:color="auto"/>
                <w:left w:val="none" w:sz="0" w:space="0" w:color="auto"/>
                <w:bottom w:val="none" w:sz="0" w:space="0" w:color="auto"/>
                <w:right w:val="none" w:sz="0" w:space="0" w:color="auto"/>
              </w:divBdr>
            </w:div>
          </w:divsChild>
        </w:div>
        <w:div w:id="1582175373">
          <w:marLeft w:val="0"/>
          <w:marRight w:val="0"/>
          <w:marTop w:val="0"/>
          <w:marBottom w:val="0"/>
          <w:divBdr>
            <w:top w:val="none" w:sz="0" w:space="0" w:color="auto"/>
            <w:left w:val="none" w:sz="0" w:space="0" w:color="auto"/>
            <w:bottom w:val="none" w:sz="0" w:space="0" w:color="auto"/>
            <w:right w:val="none" w:sz="0" w:space="0" w:color="auto"/>
          </w:divBdr>
          <w:divsChild>
            <w:div w:id="1785230009">
              <w:marLeft w:val="0"/>
              <w:marRight w:val="0"/>
              <w:marTop w:val="0"/>
              <w:marBottom w:val="0"/>
              <w:divBdr>
                <w:top w:val="none" w:sz="0" w:space="0" w:color="auto"/>
                <w:left w:val="none" w:sz="0" w:space="0" w:color="auto"/>
                <w:bottom w:val="none" w:sz="0" w:space="0" w:color="auto"/>
                <w:right w:val="none" w:sz="0" w:space="0" w:color="auto"/>
              </w:divBdr>
            </w:div>
          </w:divsChild>
        </w:div>
        <w:div w:id="1603144117">
          <w:marLeft w:val="0"/>
          <w:marRight w:val="0"/>
          <w:marTop w:val="0"/>
          <w:marBottom w:val="0"/>
          <w:divBdr>
            <w:top w:val="none" w:sz="0" w:space="0" w:color="auto"/>
            <w:left w:val="none" w:sz="0" w:space="0" w:color="auto"/>
            <w:bottom w:val="none" w:sz="0" w:space="0" w:color="auto"/>
            <w:right w:val="none" w:sz="0" w:space="0" w:color="auto"/>
          </w:divBdr>
          <w:divsChild>
            <w:div w:id="2052344679">
              <w:marLeft w:val="0"/>
              <w:marRight w:val="0"/>
              <w:marTop w:val="0"/>
              <w:marBottom w:val="0"/>
              <w:divBdr>
                <w:top w:val="none" w:sz="0" w:space="0" w:color="auto"/>
                <w:left w:val="none" w:sz="0" w:space="0" w:color="auto"/>
                <w:bottom w:val="none" w:sz="0" w:space="0" w:color="auto"/>
                <w:right w:val="none" w:sz="0" w:space="0" w:color="auto"/>
              </w:divBdr>
            </w:div>
          </w:divsChild>
        </w:div>
        <w:div w:id="1638685670">
          <w:marLeft w:val="0"/>
          <w:marRight w:val="0"/>
          <w:marTop w:val="0"/>
          <w:marBottom w:val="0"/>
          <w:divBdr>
            <w:top w:val="none" w:sz="0" w:space="0" w:color="auto"/>
            <w:left w:val="none" w:sz="0" w:space="0" w:color="auto"/>
            <w:bottom w:val="none" w:sz="0" w:space="0" w:color="auto"/>
            <w:right w:val="none" w:sz="0" w:space="0" w:color="auto"/>
          </w:divBdr>
          <w:divsChild>
            <w:div w:id="1531839781">
              <w:marLeft w:val="0"/>
              <w:marRight w:val="0"/>
              <w:marTop w:val="0"/>
              <w:marBottom w:val="0"/>
              <w:divBdr>
                <w:top w:val="none" w:sz="0" w:space="0" w:color="auto"/>
                <w:left w:val="none" w:sz="0" w:space="0" w:color="auto"/>
                <w:bottom w:val="none" w:sz="0" w:space="0" w:color="auto"/>
                <w:right w:val="none" w:sz="0" w:space="0" w:color="auto"/>
              </w:divBdr>
            </w:div>
          </w:divsChild>
        </w:div>
        <w:div w:id="1647201253">
          <w:marLeft w:val="0"/>
          <w:marRight w:val="0"/>
          <w:marTop w:val="360"/>
          <w:marBottom w:val="0"/>
          <w:divBdr>
            <w:top w:val="none" w:sz="0" w:space="0" w:color="auto"/>
            <w:left w:val="none" w:sz="0" w:space="0" w:color="auto"/>
            <w:bottom w:val="none" w:sz="0" w:space="0" w:color="auto"/>
            <w:right w:val="none" w:sz="0" w:space="0" w:color="auto"/>
          </w:divBdr>
        </w:div>
        <w:div w:id="1670208001">
          <w:marLeft w:val="0"/>
          <w:marRight w:val="0"/>
          <w:marTop w:val="0"/>
          <w:marBottom w:val="0"/>
          <w:divBdr>
            <w:top w:val="none" w:sz="0" w:space="0" w:color="auto"/>
            <w:left w:val="none" w:sz="0" w:space="0" w:color="auto"/>
            <w:bottom w:val="none" w:sz="0" w:space="0" w:color="auto"/>
            <w:right w:val="none" w:sz="0" w:space="0" w:color="auto"/>
          </w:divBdr>
        </w:div>
        <w:div w:id="1695156924">
          <w:marLeft w:val="0"/>
          <w:marRight w:val="0"/>
          <w:marTop w:val="0"/>
          <w:marBottom w:val="0"/>
          <w:divBdr>
            <w:top w:val="none" w:sz="0" w:space="0" w:color="auto"/>
            <w:left w:val="none" w:sz="0" w:space="0" w:color="auto"/>
            <w:bottom w:val="none" w:sz="0" w:space="0" w:color="auto"/>
            <w:right w:val="none" w:sz="0" w:space="0" w:color="auto"/>
          </w:divBdr>
          <w:divsChild>
            <w:div w:id="1164004670">
              <w:marLeft w:val="0"/>
              <w:marRight w:val="0"/>
              <w:marTop w:val="0"/>
              <w:marBottom w:val="0"/>
              <w:divBdr>
                <w:top w:val="none" w:sz="0" w:space="0" w:color="auto"/>
                <w:left w:val="none" w:sz="0" w:space="0" w:color="auto"/>
                <w:bottom w:val="none" w:sz="0" w:space="0" w:color="auto"/>
                <w:right w:val="none" w:sz="0" w:space="0" w:color="auto"/>
              </w:divBdr>
            </w:div>
          </w:divsChild>
        </w:div>
        <w:div w:id="1720325367">
          <w:marLeft w:val="0"/>
          <w:marRight w:val="0"/>
          <w:marTop w:val="0"/>
          <w:marBottom w:val="0"/>
          <w:divBdr>
            <w:top w:val="none" w:sz="0" w:space="0" w:color="auto"/>
            <w:left w:val="none" w:sz="0" w:space="0" w:color="auto"/>
            <w:bottom w:val="none" w:sz="0" w:space="0" w:color="auto"/>
            <w:right w:val="none" w:sz="0" w:space="0" w:color="auto"/>
          </w:divBdr>
        </w:div>
        <w:div w:id="1738743720">
          <w:marLeft w:val="0"/>
          <w:marRight w:val="0"/>
          <w:marTop w:val="0"/>
          <w:marBottom w:val="0"/>
          <w:divBdr>
            <w:top w:val="none" w:sz="0" w:space="0" w:color="auto"/>
            <w:left w:val="none" w:sz="0" w:space="0" w:color="auto"/>
            <w:bottom w:val="none" w:sz="0" w:space="0" w:color="auto"/>
            <w:right w:val="none" w:sz="0" w:space="0" w:color="auto"/>
          </w:divBdr>
          <w:divsChild>
            <w:div w:id="1080101247">
              <w:marLeft w:val="0"/>
              <w:marRight w:val="0"/>
              <w:marTop w:val="0"/>
              <w:marBottom w:val="0"/>
              <w:divBdr>
                <w:top w:val="none" w:sz="0" w:space="0" w:color="auto"/>
                <w:left w:val="none" w:sz="0" w:space="0" w:color="auto"/>
                <w:bottom w:val="none" w:sz="0" w:space="0" w:color="auto"/>
                <w:right w:val="none" w:sz="0" w:space="0" w:color="auto"/>
              </w:divBdr>
            </w:div>
          </w:divsChild>
        </w:div>
        <w:div w:id="1763139681">
          <w:marLeft w:val="0"/>
          <w:marRight w:val="0"/>
          <w:marTop w:val="0"/>
          <w:marBottom w:val="0"/>
          <w:divBdr>
            <w:top w:val="none" w:sz="0" w:space="0" w:color="auto"/>
            <w:left w:val="none" w:sz="0" w:space="0" w:color="auto"/>
            <w:bottom w:val="none" w:sz="0" w:space="0" w:color="auto"/>
            <w:right w:val="none" w:sz="0" w:space="0" w:color="auto"/>
          </w:divBdr>
          <w:divsChild>
            <w:div w:id="1489128009">
              <w:marLeft w:val="0"/>
              <w:marRight w:val="0"/>
              <w:marTop w:val="0"/>
              <w:marBottom w:val="0"/>
              <w:divBdr>
                <w:top w:val="none" w:sz="0" w:space="0" w:color="auto"/>
                <w:left w:val="none" w:sz="0" w:space="0" w:color="auto"/>
                <w:bottom w:val="none" w:sz="0" w:space="0" w:color="auto"/>
                <w:right w:val="none" w:sz="0" w:space="0" w:color="auto"/>
              </w:divBdr>
            </w:div>
          </w:divsChild>
        </w:div>
        <w:div w:id="1905215144">
          <w:marLeft w:val="0"/>
          <w:marRight w:val="0"/>
          <w:marTop w:val="0"/>
          <w:marBottom w:val="0"/>
          <w:divBdr>
            <w:top w:val="none" w:sz="0" w:space="0" w:color="auto"/>
            <w:left w:val="none" w:sz="0" w:space="0" w:color="auto"/>
            <w:bottom w:val="none" w:sz="0" w:space="0" w:color="auto"/>
            <w:right w:val="none" w:sz="0" w:space="0" w:color="auto"/>
          </w:divBdr>
          <w:divsChild>
            <w:div w:id="1407459723">
              <w:marLeft w:val="0"/>
              <w:marRight w:val="0"/>
              <w:marTop w:val="0"/>
              <w:marBottom w:val="0"/>
              <w:divBdr>
                <w:top w:val="none" w:sz="0" w:space="0" w:color="auto"/>
                <w:left w:val="none" w:sz="0" w:space="0" w:color="auto"/>
                <w:bottom w:val="none" w:sz="0" w:space="0" w:color="auto"/>
                <w:right w:val="none" w:sz="0" w:space="0" w:color="auto"/>
              </w:divBdr>
            </w:div>
          </w:divsChild>
        </w:div>
        <w:div w:id="1930382090">
          <w:marLeft w:val="0"/>
          <w:marRight w:val="0"/>
          <w:marTop w:val="0"/>
          <w:marBottom w:val="0"/>
          <w:divBdr>
            <w:top w:val="none" w:sz="0" w:space="0" w:color="auto"/>
            <w:left w:val="none" w:sz="0" w:space="0" w:color="auto"/>
            <w:bottom w:val="none" w:sz="0" w:space="0" w:color="auto"/>
            <w:right w:val="none" w:sz="0" w:space="0" w:color="auto"/>
          </w:divBdr>
          <w:divsChild>
            <w:div w:id="553850971">
              <w:marLeft w:val="0"/>
              <w:marRight w:val="0"/>
              <w:marTop w:val="0"/>
              <w:marBottom w:val="0"/>
              <w:divBdr>
                <w:top w:val="none" w:sz="0" w:space="0" w:color="auto"/>
                <w:left w:val="none" w:sz="0" w:space="0" w:color="auto"/>
                <w:bottom w:val="none" w:sz="0" w:space="0" w:color="auto"/>
                <w:right w:val="none" w:sz="0" w:space="0" w:color="auto"/>
              </w:divBdr>
            </w:div>
          </w:divsChild>
        </w:div>
        <w:div w:id="1932159503">
          <w:marLeft w:val="0"/>
          <w:marRight w:val="0"/>
          <w:marTop w:val="360"/>
          <w:marBottom w:val="0"/>
          <w:divBdr>
            <w:top w:val="none" w:sz="0" w:space="0" w:color="auto"/>
            <w:left w:val="none" w:sz="0" w:space="0" w:color="auto"/>
            <w:bottom w:val="none" w:sz="0" w:space="0" w:color="auto"/>
            <w:right w:val="none" w:sz="0" w:space="0" w:color="auto"/>
          </w:divBdr>
        </w:div>
        <w:div w:id="1939017894">
          <w:marLeft w:val="0"/>
          <w:marRight w:val="0"/>
          <w:marTop w:val="360"/>
          <w:marBottom w:val="0"/>
          <w:divBdr>
            <w:top w:val="none" w:sz="0" w:space="0" w:color="auto"/>
            <w:left w:val="none" w:sz="0" w:space="0" w:color="auto"/>
            <w:bottom w:val="none" w:sz="0" w:space="0" w:color="auto"/>
            <w:right w:val="none" w:sz="0" w:space="0" w:color="auto"/>
          </w:divBdr>
        </w:div>
        <w:div w:id="2031374491">
          <w:marLeft w:val="0"/>
          <w:marRight w:val="0"/>
          <w:marTop w:val="360"/>
          <w:marBottom w:val="0"/>
          <w:divBdr>
            <w:top w:val="none" w:sz="0" w:space="0" w:color="auto"/>
            <w:left w:val="none" w:sz="0" w:space="0" w:color="auto"/>
            <w:bottom w:val="none" w:sz="0" w:space="0" w:color="auto"/>
            <w:right w:val="none" w:sz="0" w:space="0" w:color="auto"/>
          </w:divBdr>
        </w:div>
        <w:div w:id="2066877801">
          <w:marLeft w:val="0"/>
          <w:marRight w:val="0"/>
          <w:marTop w:val="0"/>
          <w:marBottom w:val="0"/>
          <w:divBdr>
            <w:top w:val="none" w:sz="0" w:space="0" w:color="auto"/>
            <w:left w:val="none" w:sz="0" w:space="0" w:color="auto"/>
            <w:bottom w:val="none" w:sz="0" w:space="0" w:color="auto"/>
            <w:right w:val="none" w:sz="0" w:space="0" w:color="auto"/>
          </w:divBdr>
          <w:divsChild>
            <w:div w:id="2050838503">
              <w:marLeft w:val="0"/>
              <w:marRight w:val="0"/>
              <w:marTop w:val="0"/>
              <w:marBottom w:val="0"/>
              <w:divBdr>
                <w:top w:val="none" w:sz="0" w:space="0" w:color="auto"/>
                <w:left w:val="none" w:sz="0" w:space="0" w:color="auto"/>
                <w:bottom w:val="none" w:sz="0" w:space="0" w:color="auto"/>
                <w:right w:val="none" w:sz="0" w:space="0" w:color="auto"/>
              </w:divBdr>
            </w:div>
          </w:divsChild>
        </w:div>
        <w:div w:id="2113161853">
          <w:marLeft w:val="0"/>
          <w:marRight w:val="0"/>
          <w:marTop w:val="0"/>
          <w:marBottom w:val="0"/>
          <w:divBdr>
            <w:top w:val="none" w:sz="0" w:space="0" w:color="auto"/>
            <w:left w:val="none" w:sz="0" w:space="0" w:color="auto"/>
            <w:bottom w:val="none" w:sz="0" w:space="0" w:color="auto"/>
            <w:right w:val="none" w:sz="0" w:space="0" w:color="auto"/>
          </w:divBdr>
          <w:divsChild>
            <w:div w:id="643505491">
              <w:marLeft w:val="0"/>
              <w:marRight w:val="0"/>
              <w:marTop w:val="0"/>
              <w:marBottom w:val="0"/>
              <w:divBdr>
                <w:top w:val="none" w:sz="0" w:space="0" w:color="auto"/>
                <w:left w:val="none" w:sz="0" w:space="0" w:color="auto"/>
                <w:bottom w:val="none" w:sz="0" w:space="0" w:color="auto"/>
                <w:right w:val="none" w:sz="0" w:space="0" w:color="auto"/>
              </w:divBdr>
            </w:div>
          </w:divsChild>
        </w:div>
        <w:div w:id="2122911983">
          <w:marLeft w:val="0"/>
          <w:marRight w:val="0"/>
          <w:marTop w:val="0"/>
          <w:marBottom w:val="0"/>
          <w:divBdr>
            <w:top w:val="none" w:sz="0" w:space="0" w:color="auto"/>
            <w:left w:val="none" w:sz="0" w:space="0" w:color="auto"/>
            <w:bottom w:val="none" w:sz="0" w:space="0" w:color="auto"/>
            <w:right w:val="none" w:sz="0" w:space="0" w:color="auto"/>
          </w:divBdr>
          <w:divsChild>
            <w:div w:id="2059351450">
              <w:marLeft w:val="0"/>
              <w:marRight w:val="0"/>
              <w:marTop w:val="0"/>
              <w:marBottom w:val="0"/>
              <w:divBdr>
                <w:top w:val="none" w:sz="0" w:space="0" w:color="auto"/>
                <w:left w:val="none" w:sz="0" w:space="0" w:color="auto"/>
                <w:bottom w:val="none" w:sz="0" w:space="0" w:color="auto"/>
                <w:right w:val="none" w:sz="0" w:space="0" w:color="auto"/>
              </w:divBdr>
            </w:div>
          </w:divsChild>
        </w:div>
        <w:div w:id="2140801793">
          <w:marLeft w:val="0"/>
          <w:marRight w:val="0"/>
          <w:marTop w:val="0"/>
          <w:marBottom w:val="0"/>
          <w:divBdr>
            <w:top w:val="none" w:sz="0" w:space="0" w:color="auto"/>
            <w:left w:val="none" w:sz="0" w:space="0" w:color="auto"/>
            <w:bottom w:val="none" w:sz="0" w:space="0" w:color="auto"/>
            <w:right w:val="none" w:sz="0" w:space="0" w:color="auto"/>
          </w:divBdr>
          <w:divsChild>
            <w:div w:id="1574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847">
      <w:bodyDiv w:val="1"/>
      <w:marLeft w:val="0"/>
      <w:marRight w:val="0"/>
      <w:marTop w:val="0"/>
      <w:marBottom w:val="0"/>
      <w:divBdr>
        <w:top w:val="none" w:sz="0" w:space="0" w:color="auto"/>
        <w:left w:val="none" w:sz="0" w:space="0" w:color="auto"/>
        <w:bottom w:val="none" w:sz="0" w:space="0" w:color="auto"/>
        <w:right w:val="none" w:sz="0" w:space="0" w:color="auto"/>
      </w:divBdr>
    </w:div>
    <w:div w:id="274949133">
      <w:bodyDiv w:val="1"/>
      <w:marLeft w:val="0"/>
      <w:marRight w:val="0"/>
      <w:marTop w:val="0"/>
      <w:marBottom w:val="0"/>
      <w:divBdr>
        <w:top w:val="none" w:sz="0" w:space="0" w:color="auto"/>
        <w:left w:val="none" w:sz="0" w:space="0" w:color="auto"/>
        <w:bottom w:val="none" w:sz="0" w:space="0" w:color="auto"/>
        <w:right w:val="none" w:sz="0" w:space="0" w:color="auto"/>
      </w:divBdr>
    </w:div>
    <w:div w:id="279261861">
      <w:bodyDiv w:val="1"/>
      <w:marLeft w:val="0"/>
      <w:marRight w:val="0"/>
      <w:marTop w:val="0"/>
      <w:marBottom w:val="0"/>
      <w:divBdr>
        <w:top w:val="none" w:sz="0" w:space="0" w:color="auto"/>
        <w:left w:val="none" w:sz="0" w:space="0" w:color="auto"/>
        <w:bottom w:val="none" w:sz="0" w:space="0" w:color="auto"/>
        <w:right w:val="none" w:sz="0" w:space="0" w:color="auto"/>
      </w:divBdr>
    </w:div>
    <w:div w:id="317618048">
      <w:bodyDiv w:val="1"/>
      <w:marLeft w:val="0"/>
      <w:marRight w:val="0"/>
      <w:marTop w:val="0"/>
      <w:marBottom w:val="0"/>
      <w:divBdr>
        <w:top w:val="none" w:sz="0" w:space="0" w:color="auto"/>
        <w:left w:val="none" w:sz="0" w:space="0" w:color="auto"/>
        <w:bottom w:val="none" w:sz="0" w:space="0" w:color="auto"/>
        <w:right w:val="none" w:sz="0" w:space="0" w:color="auto"/>
      </w:divBdr>
    </w:div>
    <w:div w:id="360480102">
      <w:bodyDiv w:val="1"/>
      <w:marLeft w:val="0"/>
      <w:marRight w:val="0"/>
      <w:marTop w:val="0"/>
      <w:marBottom w:val="0"/>
      <w:divBdr>
        <w:top w:val="none" w:sz="0" w:space="0" w:color="auto"/>
        <w:left w:val="none" w:sz="0" w:space="0" w:color="auto"/>
        <w:bottom w:val="none" w:sz="0" w:space="0" w:color="auto"/>
        <w:right w:val="none" w:sz="0" w:space="0" w:color="auto"/>
      </w:divBdr>
    </w:div>
    <w:div w:id="429471379">
      <w:bodyDiv w:val="1"/>
      <w:marLeft w:val="0"/>
      <w:marRight w:val="0"/>
      <w:marTop w:val="0"/>
      <w:marBottom w:val="0"/>
      <w:divBdr>
        <w:top w:val="none" w:sz="0" w:space="0" w:color="auto"/>
        <w:left w:val="none" w:sz="0" w:space="0" w:color="auto"/>
        <w:bottom w:val="none" w:sz="0" w:space="0" w:color="auto"/>
        <w:right w:val="none" w:sz="0" w:space="0" w:color="auto"/>
      </w:divBdr>
    </w:div>
    <w:div w:id="448207761">
      <w:bodyDiv w:val="1"/>
      <w:marLeft w:val="0"/>
      <w:marRight w:val="0"/>
      <w:marTop w:val="0"/>
      <w:marBottom w:val="0"/>
      <w:divBdr>
        <w:top w:val="none" w:sz="0" w:space="0" w:color="auto"/>
        <w:left w:val="none" w:sz="0" w:space="0" w:color="auto"/>
        <w:bottom w:val="none" w:sz="0" w:space="0" w:color="auto"/>
        <w:right w:val="none" w:sz="0" w:space="0" w:color="auto"/>
      </w:divBdr>
    </w:div>
    <w:div w:id="690106686">
      <w:bodyDiv w:val="1"/>
      <w:marLeft w:val="0"/>
      <w:marRight w:val="0"/>
      <w:marTop w:val="0"/>
      <w:marBottom w:val="0"/>
      <w:divBdr>
        <w:top w:val="none" w:sz="0" w:space="0" w:color="auto"/>
        <w:left w:val="none" w:sz="0" w:space="0" w:color="auto"/>
        <w:bottom w:val="none" w:sz="0" w:space="0" w:color="auto"/>
        <w:right w:val="none" w:sz="0" w:space="0" w:color="auto"/>
      </w:divBdr>
    </w:div>
    <w:div w:id="727531605">
      <w:bodyDiv w:val="1"/>
      <w:marLeft w:val="0"/>
      <w:marRight w:val="0"/>
      <w:marTop w:val="0"/>
      <w:marBottom w:val="0"/>
      <w:divBdr>
        <w:top w:val="none" w:sz="0" w:space="0" w:color="auto"/>
        <w:left w:val="none" w:sz="0" w:space="0" w:color="auto"/>
        <w:bottom w:val="none" w:sz="0" w:space="0" w:color="auto"/>
        <w:right w:val="none" w:sz="0" w:space="0" w:color="auto"/>
      </w:divBdr>
    </w:div>
    <w:div w:id="737750108">
      <w:bodyDiv w:val="1"/>
      <w:marLeft w:val="0"/>
      <w:marRight w:val="0"/>
      <w:marTop w:val="0"/>
      <w:marBottom w:val="0"/>
      <w:divBdr>
        <w:top w:val="none" w:sz="0" w:space="0" w:color="auto"/>
        <w:left w:val="none" w:sz="0" w:space="0" w:color="auto"/>
        <w:bottom w:val="none" w:sz="0" w:space="0" w:color="auto"/>
        <w:right w:val="none" w:sz="0" w:space="0" w:color="auto"/>
      </w:divBdr>
    </w:div>
    <w:div w:id="759136161">
      <w:bodyDiv w:val="1"/>
      <w:marLeft w:val="0"/>
      <w:marRight w:val="0"/>
      <w:marTop w:val="0"/>
      <w:marBottom w:val="0"/>
      <w:divBdr>
        <w:top w:val="none" w:sz="0" w:space="0" w:color="auto"/>
        <w:left w:val="none" w:sz="0" w:space="0" w:color="auto"/>
        <w:bottom w:val="none" w:sz="0" w:space="0" w:color="auto"/>
        <w:right w:val="none" w:sz="0" w:space="0" w:color="auto"/>
      </w:divBdr>
      <w:divsChild>
        <w:div w:id="152843540">
          <w:marLeft w:val="547"/>
          <w:marRight w:val="0"/>
          <w:marTop w:val="86"/>
          <w:marBottom w:val="0"/>
          <w:divBdr>
            <w:top w:val="none" w:sz="0" w:space="0" w:color="auto"/>
            <w:left w:val="none" w:sz="0" w:space="0" w:color="auto"/>
            <w:bottom w:val="none" w:sz="0" w:space="0" w:color="auto"/>
            <w:right w:val="none" w:sz="0" w:space="0" w:color="auto"/>
          </w:divBdr>
        </w:div>
        <w:div w:id="227615928">
          <w:marLeft w:val="547"/>
          <w:marRight w:val="0"/>
          <w:marTop w:val="86"/>
          <w:marBottom w:val="0"/>
          <w:divBdr>
            <w:top w:val="none" w:sz="0" w:space="0" w:color="auto"/>
            <w:left w:val="none" w:sz="0" w:space="0" w:color="auto"/>
            <w:bottom w:val="none" w:sz="0" w:space="0" w:color="auto"/>
            <w:right w:val="none" w:sz="0" w:space="0" w:color="auto"/>
          </w:divBdr>
        </w:div>
        <w:div w:id="558902580">
          <w:marLeft w:val="547"/>
          <w:marRight w:val="0"/>
          <w:marTop w:val="86"/>
          <w:marBottom w:val="0"/>
          <w:divBdr>
            <w:top w:val="none" w:sz="0" w:space="0" w:color="auto"/>
            <w:left w:val="none" w:sz="0" w:space="0" w:color="auto"/>
            <w:bottom w:val="none" w:sz="0" w:space="0" w:color="auto"/>
            <w:right w:val="none" w:sz="0" w:space="0" w:color="auto"/>
          </w:divBdr>
        </w:div>
        <w:div w:id="694967488">
          <w:marLeft w:val="547"/>
          <w:marRight w:val="0"/>
          <w:marTop w:val="86"/>
          <w:marBottom w:val="0"/>
          <w:divBdr>
            <w:top w:val="none" w:sz="0" w:space="0" w:color="auto"/>
            <w:left w:val="none" w:sz="0" w:space="0" w:color="auto"/>
            <w:bottom w:val="none" w:sz="0" w:space="0" w:color="auto"/>
            <w:right w:val="none" w:sz="0" w:space="0" w:color="auto"/>
          </w:divBdr>
        </w:div>
        <w:div w:id="831604760">
          <w:marLeft w:val="547"/>
          <w:marRight w:val="0"/>
          <w:marTop w:val="86"/>
          <w:marBottom w:val="0"/>
          <w:divBdr>
            <w:top w:val="none" w:sz="0" w:space="0" w:color="auto"/>
            <w:left w:val="none" w:sz="0" w:space="0" w:color="auto"/>
            <w:bottom w:val="none" w:sz="0" w:space="0" w:color="auto"/>
            <w:right w:val="none" w:sz="0" w:space="0" w:color="auto"/>
          </w:divBdr>
        </w:div>
        <w:div w:id="954753059">
          <w:marLeft w:val="547"/>
          <w:marRight w:val="0"/>
          <w:marTop w:val="86"/>
          <w:marBottom w:val="0"/>
          <w:divBdr>
            <w:top w:val="none" w:sz="0" w:space="0" w:color="auto"/>
            <w:left w:val="none" w:sz="0" w:space="0" w:color="auto"/>
            <w:bottom w:val="none" w:sz="0" w:space="0" w:color="auto"/>
            <w:right w:val="none" w:sz="0" w:space="0" w:color="auto"/>
          </w:divBdr>
        </w:div>
        <w:div w:id="1218056029">
          <w:marLeft w:val="547"/>
          <w:marRight w:val="0"/>
          <w:marTop w:val="86"/>
          <w:marBottom w:val="0"/>
          <w:divBdr>
            <w:top w:val="none" w:sz="0" w:space="0" w:color="auto"/>
            <w:left w:val="none" w:sz="0" w:space="0" w:color="auto"/>
            <w:bottom w:val="none" w:sz="0" w:space="0" w:color="auto"/>
            <w:right w:val="none" w:sz="0" w:space="0" w:color="auto"/>
          </w:divBdr>
        </w:div>
        <w:div w:id="1230848031">
          <w:marLeft w:val="547"/>
          <w:marRight w:val="0"/>
          <w:marTop w:val="86"/>
          <w:marBottom w:val="0"/>
          <w:divBdr>
            <w:top w:val="none" w:sz="0" w:space="0" w:color="auto"/>
            <w:left w:val="none" w:sz="0" w:space="0" w:color="auto"/>
            <w:bottom w:val="none" w:sz="0" w:space="0" w:color="auto"/>
            <w:right w:val="none" w:sz="0" w:space="0" w:color="auto"/>
          </w:divBdr>
        </w:div>
        <w:div w:id="1232037127">
          <w:marLeft w:val="547"/>
          <w:marRight w:val="0"/>
          <w:marTop w:val="86"/>
          <w:marBottom w:val="0"/>
          <w:divBdr>
            <w:top w:val="none" w:sz="0" w:space="0" w:color="auto"/>
            <w:left w:val="none" w:sz="0" w:space="0" w:color="auto"/>
            <w:bottom w:val="none" w:sz="0" w:space="0" w:color="auto"/>
            <w:right w:val="none" w:sz="0" w:space="0" w:color="auto"/>
          </w:divBdr>
        </w:div>
        <w:div w:id="1737777400">
          <w:marLeft w:val="547"/>
          <w:marRight w:val="0"/>
          <w:marTop w:val="86"/>
          <w:marBottom w:val="0"/>
          <w:divBdr>
            <w:top w:val="none" w:sz="0" w:space="0" w:color="auto"/>
            <w:left w:val="none" w:sz="0" w:space="0" w:color="auto"/>
            <w:bottom w:val="none" w:sz="0" w:space="0" w:color="auto"/>
            <w:right w:val="none" w:sz="0" w:space="0" w:color="auto"/>
          </w:divBdr>
        </w:div>
      </w:divsChild>
    </w:div>
    <w:div w:id="796869810">
      <w:bodyDiv w:val="1"/>
      <w:marLeft w:val="0"/>
      <w:marRight w:val="0"/>
      <w:marTop w:val="0"/>
      <w:marBottom w:val="0"/>
      <w:divBdr>
        <w:top w:val="none" w:sz="0" w:space="0" w:color="auto"/>
        <w:left w:val="none" w:sz="0" w:space="0" w:color="auto"/>
        <w:bottom w:val="none" w:sz="0" w:space="0" w:color="auto"/>
        <w:right w:val="none" w:sz="0" w:space="0" w:color="auto"/>
      </w:divBdr>
    </w:div>
    <w:div w:id="803238644">
      <w:bodyDiv w:val="1"/>
      <w:marLeft w:val="0"/>
      <w:marRight w:val="0"/>
      <w:marTop w:val="0"/>
      <w:marBottom w:val="0"/>
      <w:divBdr>
        <w:top w:val="none" w:sz="0" w:space="0" w:color="auto"/>
        <w:left w:val="none" w:sz="0" w:space="0" w:color="auto"/>
        <w:bottom w:val="none" w:sz="0" w:space="0" w:color="auto"/>
        <w:right w:val="none" w:sz="0" w:space="0" w:color="auto"/>
      </w:divBdr>
      <w:divsChild>
        <w:div w:id="807163110">
          <w:marLeft w:val="0"/>
          <w:marRight w:val="0"/>
          <w:marTop w:val="0"/>
          <w:marBottom w:val="0"/>
          <w:divBdr>
            <w:top w:val="none" w:sz="0" w:space="0" w:color="auto"/>
            <w:left w:val="none" w:sz="0" w:space="0" w:color="auto"/>
            <w:bottom w:val="none" w:sz="0" w:space="0" w:color="auto"/>
            <w:right w:val="none" w:sz="0" w:space="0" w:color="auto"/>
          </w:divBdr>
        </w:div>
        <w:div w:id="1164515975">
          <w:marLeft w:val="0"/>
          <w:marRight w:val="0"/>
          <w:marTop w:val="0"/>
          <w:marBottom w:val="0"/>
          <w:divBdr>
            <w:top w:val="none" w:sz="0" w:space="0" w:color="auto"/>
            <w:left w:val="none" w:sz="0" w:space="0" w:color="auto"/>
            <w:bottom w:val="none" w:sz="0" w:space="0" w:color="auto"/>
            <w:right w:val="none" w:sz="0" w:space="0" w:color="auto"/>
          </w:divBdr>
        </w:div>
        <w:div w:id="2088114980">
          <w:marLeft w:val="0"/>
          <w:marRight w:val="0"/>
          <w:marTop w:val="0"/>
          <w:marBottom w:val="0"/>
          <w:divBdr>
            <w:top w:val="none" w:sz="0" w:space="0" w:color="auto"/>
            <w:left w:val="none" w:sz="0" w:space="0" w:color="auto"/>
            <w:bottom w:val="none" w:sz="0" w:space="0" w:color="auto"/>
            <w:right w:val="none" w:sz="0" w:space="0" w:color="auto"/>
          </w:divBdr>
        </w:div>
      </w:divsChild>
    </w:div>
    <w:div w:id="824855308">
      <w:bodyDiv w:val="1"/>
      <w:marLeft w:val="0"/>
      <w:marRight w:val="0"/>
      <w:marTop w:val="0"/>
      <w:marBottom w:val="0"/>
      <w:divBdr>
        <w:top w:val="none" w:sz="0" w:space="0" w:color="auto"/>
        <w:left w:val="none" w:sz="0" w:space="0" w:color="auto"/>
        <w:bottom w:val="none" w:sz="0" w:space="0" w:color="auto"/>
        <w:right w:val="none" w:sz="0" w:space="0" w:color="auto"/>
      </w:divBdr>
    </w:div>
    <w:div w:id="883056851">
      <w:bodyDiv w:val="1"/>
      <w:marLeft w:val="0"/>
      <w:marRight w:val="0"/>
      <w:marTop w:val="0"/>
      <w:marBottom w:val="0"/>
      <w:divBdr>
        <w:top w:val="none" w:sz="0" w:space="0" w:color="auto"/>
        <w:left w:val="none" w:sz="0" w:space="0" w:color="auto"/>
        <w:bottom w:val="none" w:sz="0" w:space="0" w:color="auto"/>
        <w:right w:val="none" w:sz="0" w:space="0" w:color="auto"/>
      </w:divBdr>
    </w:div>
    <w:div w:id="905803315">
      <w:bodyDiv w:val="1"/>
      <w:marLeft w:val="0"/>
      <w:marRight w:val="0"/>
      <w:marTop w:val="0"/>
      <w:marBottom w:val="0"/>
      <w:divBdr>
        <w:top w:val="none" w:sz="0" w:space="0" w:color="auto"/>
        <w:left w:val="none" w:sz="0" w:space="0" w:color="auto"/>
        <w:bottom w:val="none" w:sz="0" w:space="0" w:color="auto"/>
        <w:right w:val="none" w:sz="0" w:space="0" w:color="auto"/>
      </w:divBdr>
    </w:div>
    <w:div w:id="913976278">
      <w:bodyDiv w:val="1"/>
      <w:marLeft w:val="0"/>
      <w:marRight w:val="0"/>
      <w:marTop w:val="0"/>
      <w:marBottom w:val="0"/>
      <w:divBdr>
        <w:top w:val="none" w:sz="0" w:space="0" w:color="auto"/>
        <w:left w:val="none" w:sz="0" w:space="0" w:color="auto"/>
        <w:bottom w:val="none" w:sz="0" w:space="0" w:color="auto"/>
        <w:right w:val="none" w:sz="0" w:space="0" w:color="auto"/>
      </w:divBdr>
    </w:div>
    <w:div w:id="932084383">
      <w:bodyDiv w:val="1"/>
      <w:marLeft w:val="0"/>
      <w:marRight w:val="0"/>
      <w:marTop w:val="0"/>
      <w:marBottom w:val="0"/>
      <w:divBdr>
        <w:top w:val="none" w:sz="0" w:space="0" w:color="auto"/>
        <w:left w:val="none" w:sz="0" w:space="0" w:color="auto"/>
        <w:bottom w:val="none" w:sz="0" w:space="0" w:color="auto"/>
        <w:right w:val="none" w:sz="0" w:space="0" w:color="auto"/>
      </w:divBdr>
    </w:div>
    <w:div w:id="950284776">
      <w:bodyDiv w:val="1"/>
      <w:marLeft w:val="0"/>
      <w:marRight w:val="0"/>
      <w:marTop w:val="0"/>
      <w:marBottom w:val="0"/>
      <w:divBdr>
        <w:top w:val="none" w:sz="0" w:space="0" w:color="auto"/>
        <w:left w:val="none" w:sz="0" w:space="0" w:color="auto"/>
        <w:bottom w:val="none" w:sz="0" w:space="0" w:color="auto"/>
        <w:right w:val="none" w:sz="0" w:space="0" w:color="auto"/>
      </w:divBdr>
    </w:div>
    <w:div w:id="958726378">
      <w:bodyDiv w:val="1"/>
      <w:marLeft w:val="0"/>
      <w:marRight w:val="0"/>
      <w:marTop w:val="0"/>
      <w:marBottom w:val="0"/>
      <w:divBdr>
        <w:top w:val="none" w:sz="0" w:space="0" w:color="auto"/>
        <w:left w:val="none" w:sz="0" w:space="0" w:color="auto"/>
        <w:bottom w:val="none" w:sz="0" w:space="0" w:color="auto"/>
        <w:right w:val="none" w:sz="0" w:space="0" w:color="auto"/>
      </w:divBdr>
    </w:div>
    <w:div w:id="986664584">
      <w:bodyDiv w:val="1"/>
      <w:marLeft w:val="0"/>
      <w:marRight w:val="0"/>
      <w:marTop w:val="0"/>
      <w:marBottom w:val="0"/>
      <w:divBdr>
        <w:top w:val="none" w:sz="0" w:space="0" w:color="auto"/>
        <w:left w:val="none" w:sz="0" w:space="0" w:color="auto"/>
        <w:bottom w:val="none" w:sz="0" w:space="0" w:color="auto"/>
        <w:right w:val="none" w:sz="0" w:space="0" w:color="auto"/>
      </w:divBdr>
    </w:div>
    <w:div w:id="1047028905">
      <w:bodyDiv w:val="1"/>
      <w:marLeft w:val="0"/>
      <w:marRight w:val="0"/>
      <w:marTop w:val="0"/>
      <w:marBottom w:val="0"/>
      <w:divBdr>
        <w:top w:val="none" w:sz="0" w:space="0" w:color="auto"/>
        <w:left w:val="none" w:sz="0" w:space="0" w:color="auto"/>
        <w:bottom w:val="none" w:sz="0" w:space="0" w:color="auto"/>
        <w:right w:val="none" w:sz="0" w:space="0" w:color="auto"/>
      </w:divBdr>
    </w:div>
    <w:div w:id="1085108125">
      <w:bodyDiv w:val="1"/>
      <w:marLeft w:val="0"/>
      <w:marRight w:val="0"/>
      <w:marTop w:val="0"/>
      <w:marBottom w:val="0"/>
      <w:divBdr>
        <w:top w:val="none" w:sz="0" w:space="0" w:color="auto"/>
        <w:left w:val="none" w:sz="0" w:space="0" w:color="auto"/>
        <w:bottom w:val="none" w:sz="0" w:space="0" w:color="auto"/>
        <w:right w:val="none" w:sz="0" w:space="0" w:color="auto"/>
      </w:divBdr>
    </w:div>
    <w:div w:id="1094059498">
      <w:bodyDiv w:val="1"/>
      <w:marLeft w:val="0"/>
      <w:marRight w:val="0"/>
      <w:marTop w:val="0"/>
      <w:marBottom w:val="0"/>
      <w:divBdr>
        <w:top w:val="none" w:sz="0" w:space="0" w:color="auto"/>
        <w:left w:val="none" w:sz="0" w:space="0" w:color="auto"/>
        <w:bottom w:val="none" w:sz="0" w:space="0" w:color="auto"/>
        <w:right w:val="none" w:sz="0" w:space="0" w:color="auto"/>
      </w:divBdr>
    </w:div>
    <w:div w:id="1116758554">
      <w:bodyDiv w:val="1"/>
      <w:marLeft w:val="0"/>
      <w:marRight w:val="0"/>
      <w:marTop w:val="0"/>
      <w:marBottom w:val="0"/>
      <w:divBdr>
        <w:top w:val="none" w:sz="0" w:space="0" w:color="auto"/>
        <w:left w:val="none" w:sz="0" w:space="0" w:color="auto"/>
        <w:bottom w:val="none" w:sz="0" w:space="0" w:color="auto"/>
        <w:right w:val="none" w:sz="0" w:space="0" w:color="auto"/>
      </w:divBdr>
    </w:div>
    <w:div w:id="1127622049">
      <w:bodyDiv w:val="1"/>
      <w:marLeft w:val="0"/>
      <w:marRight w:val="0"/>
      <w:marTop w:val="0"/>
      <w:marBottom w:val="0"/>
      <w:divBdr>
        <w:top w:val="none" w:sz="0" w:space="0" w:color="auto"/>
        <w:left w:val="none" w:sz="0" w:space="0" w:color="auto"/>
        <w:bottom w:val="none" w:sz="0" w:space="0" w:color="auto"/>
        <w:right w:val="none" w:sz="0" w:space="0" w:color="auto"/>
      </w:divBdr>
    </w:div>
    <w:div w:id="1136490744">
      <w:bodyDiv w:val="1"/>
      <w:marLeft w:val="0"/>
      <w:marRight w:val="0"/>
      <w:marTop w:val="0"/>
      <w:marBottom w:val="0"/>
      <w:divBdr>
        <w:top w:val="none" w:sz="0" w:space="0" w:color="auto"/>
        <w:left w:val="none" w:sz="0" w:space="0" w:color="auto"/>
        <w:bottom w:val="none" w:sz="0" w:space="0" w:color="auto"/>
        <w:right w:val="none" w:sz="0" w:space="0" w:color="auto"/>
      </w:divBdr>
    </w:div>
    <w:div w:id="1163660832">
      <w:bodyDiv w:val="1"/>
      <w:marLeft w:val="0"/>
      <w:marRight w:val="0"/>
      <w:marTop w:val="0"/>
      <w:marBottom w:val="0"/>
      <w:divBdr>
        <w:top w:val="none" w:sz="0" w:space="0" w:color="auto"/>
        <w:left w:val="none" w:sz="0" w:space="0" w:color="auto"/>
        <w:bottom w:val="none" w:sz="0" w:space="0" w:color="auto"/>
        <w:right w:val="none" w:sz="0" w:space="0" w:color="auto"/>
      </w:divBdr>
    </w:div>
    <w:div w:id="1196887409">
      <w:bodyDiv w:val="1"/>
      <w:marLeft w:val="0"/>
      <w:marRight w:val="0"/>
      <w:marTop w:val="0"/>
      <w:marBottom w:val="0"/>
      <w:divBdr>
        <w:top w:val="none" w:sz="0" w:space="0" w:color="auto"/>
        <w:left w:val="none" w:sz="0" w:space="0" w:color="auto"/>
        <w:bottom w:val="none" w:sz="0" w:space="0" w:color="auto"/>
        <w:right w:val="none" w:sz="0" w:space="0" w:color="auto"/>
      </w:divBdr>
    </w:div>
    <w:div w:id="1218978841">
      <w:bodyDiv w:val="1"/>
      <w:marLeft w:val="0"/>
      <w:marRight w:val="0"/>
      <w:marTop w:val="0"/>
      <w:marBottom w:val="0"/>
      <w:divBdr>
        <w:top w:val="none" w:sz="0" w:space="0" w:color="auto"/>
        <w:left w:val="none" w:sz="0" w:space="0" w:color="auto"/>
        <w:bottom w:val="none" w:sz="0" w:space="0" w:color="auto"/>
        <w:right w:val="none" w:sz="0" w:space="0" w:color="auto"/>
      </w:divBdr>
    </w:div>
    <w:div w:id="1239632634">
      <w:bodyDiv w:val="1"/>
      <w:marLeft w:val="0"/>
      <w:marRight w:val="0"/>
      <w:marTop w:val="0"/>
      <w:marBottom w:val="0"/>
      <w:divBdr>
        <w:top w:val="none" w:sz="0" w:space="0" w:color="auto"/>
        <w:left w:val="none" w:sz="0" w:space="0" w:color="auto"/>
        <w:bottom w:val="none" w:sz="0" w:space="0" w:color="auto"/>
        <w:right w:val="none" w:sz="0" w:space="0" w:color="auto"/>
      </w:divBdr>
    </w:div>
    <w:div w:id="1255357735">
      <w:bodyDiv w:val="1"/>
      <w:marLeft w:val="0"/>
      <w:marRight w:val="0"/>
      <w:marTop w:val="0"/>
      <w:marBottom w:val="0"/>
      <w:divBdr>
        <w:top w:val="none" w:sz="0" w:space="0" w:color="auto"/>
        <w:left w:val="none" w:sz="0" w:space="0" w:color="auto"/>
        <w:bottom w:val="none" w:sz="0" w:space="0" w:color="auto"/>
        <w:right w:val="none" w:sz="0" w:space="0" w:color="auto"/>
      </w:divBdr>
    </w:div>
    <w:div w:id="1416706078">
      <w:bodyDiv w:val="1"/>
      <w:marLeft w:val="0"/>
      <w:marRight w:val="0"/>
      <w:marTop w:val="0"/>
      <w:marBottom w:val="0"/>
      <w:divBdr>
        <w:top w:val="none" w:sz="0" w:space="0" w:color="auto"/>
        <w:left w:val="none" w:sz="0" w:space="0" w:color="auto"/>
        <w:bottom w:val="none" w:sz="0" w:space="0" w:color="auto"/>
        <w:right w:val="none" w:sz="0" w:space="0" w:color="auto"/>
      </w:divBdr>
    </w:div>
    <w:div w:id="1505706057">
      <w:bodyDiv w:val="1"/>
      <w:marLeft w:val="0"/>
      <w:marRight w:val="0"/>
      <w:marTop w:val="0"/>
      <w:marBottom w:val="0"/>
      <w:divBdr>
        <w:top w:val="none" w:sz="0" w:space="0" w:color="auto"/>
        <w:left w:val="none" w:sz="0" w:space="0" w:color="auto"/>
        <w:bottom w:val="none" w:sz="0" w:space="0" w:color="auto"/>
        <w:right w:val="none" w:sz="0" w:space="0" w:color="auto"/>
      </w:divBdr>
    </w:div>
    <w:div w:id="1520848506">
      <w:bodyDiv w:val="1"/>
      <w:marLeft w:val="0"/>
      <w:marRight w:val="0"/>
      <w:marTop w:val="0"/>
      <w:marBottom w:val="0"/>
      <w:divBdr>
        <w:top w:val="none" w:sz="0" w:space="0" w:color="auto"/>
        <w:left w:val="none" w:sz="0" w:space="0" w:color="auto"/>
        <w:bottom w:val="none" w:sz="0" w:space="0" w:color="auto"/>
        <w:right w:val="none" w:sz="0" w:space="0" w:color="auto"/>
      </w:divBdr>
    </w:div>
    <w:div w:id="1525171251">
      <w:bodyDiv w:val="1"/>
      <w:marLeft w:val="0"/>
      <w:marRight w:val="0"/>
      <w:marTop w:val="0"/>
      <w:marBottom w:val="0"/>
      <w:divBdr>
        <w:top w:val="none" w:sz="0" w:space="0" w:color="auto"/>
        <w:left w:val="none" w:sz="0" w:space="0" w:color="auto"/>
        <w:bottom w:val="none" w:sz="0" w:space="0" w:color="auto"/>
        <w:right w:val="none" w:sz="0" w:space="0" w:color="auto"/>
      </w:divBdr>
    </w:div>
    <w:div w:id="1536238829">
      <w:bodyDiv w:val="1"/>
      <w:marLeft w:val="0"/>
      <w:marRight w:val="0"/>
      <w:marTop w:val="0"/>
      <w:marBottom w:val="0"/>
      <w:divBdr>
        <w:top w:val="none" w:sz="0" w:space="0" w:color="auto"/>
        <w:left w:val="none" w:sz="0" w:space="0" w:color="auto"/>
        <w:bottom w:val="none" w:sz="0" w:space="0" w:color="auto"/>
        <w:right w:val="none" w:sz="0" w:space="0" w:color="auto"/>
      </w:divBdr>
    </w:div>
    <w:div w:id="1537885141">
      <w:bodyDiv w:val="1"/>
      <w:marLeft w:val="0"/>
      <w:marRight w:val="0"/>
      <w:marTop w:val="0"/>
      <w:marBottom w:val="0"/>
      <w:divBdr>
        <w:top w:val="none" w:sz="0" w:space="0" w:color="auto"/>
        <w:left w:val="none" w:sz="0" w:space="0" w:color="auto"/>
        <w:bottom w:val="none" w:sz="0" w:space="0" w:color="auto"/>
        <w:right w:val="none" w:sz="0" w:space="0" w:color="auto"/>
      </w:divBdr>
    </w:div>
    <w:div w:id="1546982900">
      <w:bodyDiv w:val="1"/>
      <w:marLeft w:val="0"/>
      <w:marRight w:val="0"/>
      <w:marTop w:val="0"/>
      <w:marBottom w:val="0"/>
      <w:divBdr>
        <w:top w:val="none" w:sz="0" w:space="0" w:color="auto"/>
        <w:left w:val="none" w:sz="0" w:space="0" w:color="auto"/>
        <w:bottom w:val="none" w:sz="0" w:space="0" w:color="auto"/>
        <w:right w:val="none" w:sz="0" w:space="0" w:color="auto"/>
      </w:divBdr>
    </w:div>
    <w:div w:id="1554463209">
      <w:bodyDiv w:val="1"/>
      <w:marLeft w:val="0"/>
      <w:marRight w:val="0"/>
      <w:marTop w:val="0"/>
      <w:marBottom w:val="0"/>
      <w:divBdr>
        <w:top w:val="none" w:sz="0" w:space="0" w:color="auto"/>
        <w:left w:val="none" w:sz="0" w:space="0" w:color="auto"/>
        <w:bottom w:val="none" w:sz="0" w:space="0" w:color="auto"/>
        <w:right w:val="none" w:sz="0" w:space="0" w:color="auto"/>
      </w:divBdr>
    </w:div>
    <w:div w:id="1570578006">
      <w:bodyDiv w:val="1"/>
      <w:marLeft w:val="0"/>
      <w:marRight w:val="0"/>
      <w:marTop w:val="0"/>
      <w:marBottom w:val="0"/>
      <w:divBdr>
        <w:top w:val="none" w:sz="0" w:space="0" w:color="auto"/>
        <w:left w:val="none" w:sz="0" w:space="0" w:color="auto"/>
        <w:bottom w:val="none" w:sz="0" w:space="0" w:color="auto"/>
        <w:right w:val="none" w:sz="0" w:space="0" w:color="auto"/>
      </w:divBdr>
    </w:div>
    <w:div w:id="1610819500">
      <w:bodyDiv w:val="1"/>
      <w:marLeft w:val="0"/>
      <w:marRight w:val="0"/>
      <w:marTop w:val="0"/>
      <w:marBottom w:val="0"/>
      <w:divBdr>
        <w:top w:val="none" w:sz="0" w:space="0" w:color="auto"/>
        <w:left w:val="none" w:sz="0" w:space="0" w:color="auto"/>
        <w:bottom w:val="none" w:sz="0" w:space="0" w:color="auto"/>
        <w:right w:val="none" w:sz="0" w:space="0" w:color="auto"/>
      </w:divBdr>
    </w:div>
    <w:div w:id="1669677217">
      <w:bodyDiv w:val="1"/>
      <w:marLeft w:val="0"/>
      <w:marRight w:val="0"/>
      <w:marTop w:val="0"/>
      <w:marBottom w:val="0"/>
      <w:divBdr>
        <w:top w:val="none" w:sz="0" w:space="0" w:color="auto"/>
        <w:left w:val="none" w:sz="0" w:space="0" w:color="auto"/>
        <w:bottom w:val="none" w:sz="0" w:space="0" w:color="auto"/>
        <w:right w:val="none" w:sz="0" w:space="0" w:color="auto"/>
      </w:divBdr>
    </w:div>
    <w:div w:id="1678968747">
      <w:bodyDiv w:val="1"/>
      <w:marLeft w:val="0"/>
      <w:marRight w:val="0"/>
      <w:marTop w:val="0"/>
      <w:marBottom w:val="0"/>
      <w:divBdr>
        <w:top w:val="none" w:sz="0" w:space="0" w:color="auto"/>
        <w:left w:val="none" w:sz="0" w:space="0" w:color="auto"/>
        <w:bottom w:val="none" w:sz="0" w:space="0" w:color="auto"/>
        <w:right w:val="none" w:sz="0" w:space="0" w:color="auto"/>
      </w:divBdr>
    </w:div>
    <w:div w:id="1756900559">
      <w:bodyDiv w:val="1"/>
      <w:marLeft w:val="0"/>
      <w:marRight w:val="0"/>
      <w:marTop w:val="0"/>
      <w:marBottom w:val="0"/>
      <w:divBdr>
        <w:top w:val="none" w:sz="0" w:space="0" w:color="auto"/>
        <w:left w:val="none" w:sz="0" w:space="0" w:color="auto"/>
        <w:bottom w:val="none" w:sz="0" w:space="0" w:color="auto"/>
        <w:right w:val="none" w:sz="0" w:space="0" w:color="auto"/>
      </w:divBdr>
    </w:div>
    <w:div w:id="1771463990">
      <w:bodyDiv w:val="1"/>
      <w:marLeft w:val="0"/>
      <w:marRight w:val="0"/>
      <w:marTop w:val="0"/>
      <w:marBottom w:val="0"/>
      <w:divBdr>
        <w:top w:val="none" w:sz="0" w:space="0" w:color="auto"/>
        <w:left w:val="none" w:sz="0" w:space="0" w:color="auto"/>
        <w:bottom w:val="none" w:sz="0" w:space="0" w:color="auto"/>
        <w:right w:val="none" w:sz="0" w:space="0" w:color="auto"/>
      </w:divBdr>
    </w:div>
    <w:div w:id="1771929442">
      <w:bodyDiv w:val="1"/>
      <w:marLeft w:val="0"/>
      <w:marRight w:val="0"/>
      <w:marTop w:val="0"/>
      <w:marBottom w:val="0"/>
      <w:divBdr>
        <w:top w:val="none" w:sz="0" w:space="0" w:color="auto"/>
        <w:left w:val="none" w:sz="0" w:space="0" w:color="auto"/>
        <w:bottom w:val="none" w:sz="0" w:space="0" w:color="auto"/>
        <w:right w:val="none" w:sz="0" w:space="0" w:color="auto"/>
      </w:divBdr>
    </w:div>
    <w:div w:id="1780638983">
      <w:bodyDiv w:val="1"/>
      <w:marLeft w:val="0"/>
      <w:marRight w:val="0"/>
      <w:marTop w:val="0"/>
      <w:marBottom w:val="0"/>
      <w:divBdr>
        <w:top w:val="none" w:sz="0" w:space="0" w:color="auto"/>
        <w:left w:val="none" w:sz="0" w:space="0" w:color="auto"/>
        <w:bottom w:val="none" w:sz="0" w:space="0" w:color="auto"/>
        <w:right w:val="none" w:sz="0" w:space="0" w:color="auto"/>
      </w:divBdr>
    </w:div>
    <w:div w:id="1869682774">
      <w:bodyDiv w:val="1"/>
      <w:marLeft w:val="0"/>
      <w:marRight w:val="0"/>
      <w:marTop w:val="0"/>
      <w:marBottom w:val="0"/>
      <w:divBdr>
        <w:top w:val="none" w:sz="0" w:space="0" w:color="auto"/>
        <w:left w:val="none" w:sz="0" w:space="0" w:color="auto"/>
        <w:bottom w:val="none" w:sz="0" w:space="0" w:color="auto"/>
        <w:right w:val="none" w:sz="0" w:space="0" w:color="auto"/>
      </w:divBdr>
    </w:div>
    <w:div w:id="1872063588">
      <w:bodyDiv w:val="1"/>
      <w:marLeft w:val="0"/>
      <w:marRight w:val="0"/>
      <w:marTop w:val="0"/>
      <w:marBottom w:val="0"/>
      <w:divBdr>
        <w:top w:val="none" w:sz="0" w:space="0" w:color="auto"/>
        <w:left w:val="none" w:sz="0" w:space="0" w:color="auto"/>
        <w:bottom w:val="none" w:sz="0" w:space="0" w:color="auto"/>
        <w:right w:val="none" w:sz="0" w:space="0" w:color="auto"/>
      </w:divBdr>
    </w:div>
    <w:div w:id="1932160304">
      <w:bodyDiv w:val="1"/>
      <w:marLeft w:val="0"/>
      <w:marRight w:val="0"/>
      <w:marTop w:val="0"/>
      <w:marBottom w:val="0"/>
      <w:divBdr>
        <w:top w:val="none" w:sz="0" w:space="0" w:color="auto"/>
        <w:left w:val="none" w:sz="0" w:space="0" w:color="auto"/>
        <w:bottom w:val="none" w:sz="0" w:space="0" w:color="auto"/>
        <w:right w:val="none" w:sz="0" w:space="0" w:color="auto"/>
      </w:divBdr>
    </w:div>
    <w:div w:id="1934317138">
      <w:bodyDiv w:val="1"/>
      <w:marLeft w:val="0"/>
      <w:marRight w:val="0"/>
      <w:marTop w:val="0"/>
      <w:marBottom w:val="0"/>
      <w:divBdr>
        <w:top w:val="none" w:sz="0" w:space="0" w:color="auto"/>
        <w:left w:val="none" w:sz="0" w:space="0" w:color="auto"/>
        <w:bottom w:val="none" w:sz="0" w:space="0" w:color="auto"/>
        <w:right w:val="none" w:sz="0" w:space="0" w:color="auto"/>
      </w:divBdr>
    </w:div>
    <w:div w:id="1954895837">
      <w:bodyDiv w:val="1"/>
      <w:marLeft w:val="0"/>
      <w:marRight w:val="0"/>
      <w:marTop w:val="0"/>
      <w:marBottom w:val="0"/>
      <w:divBdr>
        <w:top w:val="none" w:sz="0" w:space="0" w:color="auto"/>
        <w:left w:val="none" w:sz="0" w:space="0" w:color="auto"/>
        <w:bottom w:val="none" w:sz="0" w:space="0" w:color="auto"/>
        <w:right w:val="none" w:sz="0" w:space="0" w:color="auto"/>
      </w:divBdr>
    </w:div>
    <w:div w:id="1958873812">
      <w:bodyDiv w:val="1"/>
      <w:marLeft w:val="0"/>
      <w:marRight w:val="0"/>
      <w:marTop w:val="0"/>
      <w:marBottom w:val="0"/>
      <w:divBdr>
        <w:top w:val="none" w:sz="0" w:space="0" w:color="auto"/>
        <w:left w:val="none" w:sz="0" w:space="0" w:color="auto"/>
        <w:bottom w:val="none" w:sz="0" w:space="0" w:color="auto"/>
        <w:right w:val="none" w:sz="0" w:space="0" w:color="auto"/>
      </w:divBdr>
    </w:div>
    <w:div w:id="1968047627">
      <w:bodyDiv w:val="1"/>
      <w:marLeft w:val="0"/>
      <w:marRight w:val="0"/>
      <w:marTop w:val="0"/>
      <w:marBottom w:val="0"/>
      <w:divBdr>
        <w:top w:val="none" w:sz="0" w:space="0" w:color="auto"/>
        <w:left w:val="none" w:sz="0" w:space="0" w:color="auto"/>
        <w:bottom w:val="none" w:sz="0" w:space="0" w:color="auto"/>
        <w:right w:val="none" w:sz="0" w:space="0" w:color="auto"/>
      </w:divBdr>
    </w:div>
    <w:div w:id="2007173940">
      <w:bodyDiv w:val="1"/>
      <w:marLeft w:val="0"/>
      <w:marRight w:val="0"/>
      <w:marTop w:val="0"/>
      <w:marBottom w:val="0"/>
      <w:divBdr>
        <w:top w:val="none" w:sz="0" w:space="0" w:color="auto"/>
        <w:left w:val="none" w:sz="0" w:space="0" w:color="auto"/>
        <w:bottom w:val="none" w:sz="0" w:space="0" w:color="auto"/>
        <w:right w:val="none" w:sz="0" w:space="0" w:color="auto"/>
      </w:divBdr>
    </w:div>
    <w:div w:id="2012096105">
      <w:bodyDiv w:val="1"/>
      <w:marLeft w:val="0"/>
      <w:marRight w:val="0"/>
      <w:marTop w:val="0"/>
      <w:marBottom w:val="0"/>
      <w:divBdr>
        <w:top w:val="none" w:sz="0" w:space="0" w:color="auto"/>
        <w:left w:val="none" w:sz="0" w:space="0" w:color="auto"/>
        <w:bottom w:val="none" w:sz="0" w:space="0" w:color="auto"/>
        <w:right w:val="none" w:sz="0" w:space="0" w:color="auto"/>
      </w:divBdr>
    </w:div>
    <w:div w:id="2034917071">
      <w:bodyDiv w:val="1"/>
      <w:marLeft w:val="0"/>
      <w:marRight w:val="0"/>
      <w:marTop w:val="0"/>
      <w:marBottom w:val="0"/>
      <w:divBdr>
        <w:top w:val="none" w:sz="0" w:space="0" w:color="auto"/>
        <w:left w:val="none" w:sz="0" w:space="0" w:color="auto"/>
        <w:bottom w:val="none" w:sz="0" w:space="0" w:color="auto"/>
        <w:right w:val="none" w:sz="0" w:space="0" w:color="auto"/>
      </w:divBdr>
    </w:div>
    <w:div w:id="2118329484">
      <w:bodyDiv w:val="1"/>
      <w:marLeft w:val="0"/>
      <w:marRight w:val="0"/>
      <w:marTop w:val="0"/>
      <w:marBottom w:val="0"/>
      <w:divBdr>
        <w:top w:val="none" w:sz="0" w:space="0" w:color="auto"/>
        <w:left w:val="none" w:sz="0" w:space="0" w:color="auto"/>
        <w:bottom w:val="none" w:sz="0" w:space="0" w:color="auto"/>
        <w:right w:val="none" w:sz="0" w:space="0" w:color="auto"/>
      </w:divBdr>
      <w:divsChild>
        <w:div w:id="274366126">
          <w:marLeft w:val="547"/>
          <w:marRight w:val="0"/>
          <w:marTop w:val="82"/>
          <w:marBottom w:val="0"/>
          <w:divBdr>
            <w:top w:val="none" w:sz="0" w:space="0" w:color="auto"/>
            <w:left w:val="none" w:sz="0" w:space="0" w:color="auto"/>
            <w:bottom w:val="none" w:sz="0" w:space="0" w:color="auto"/>
            <w:right w:val="none" w:sz="0" w:space="0" w:color="auto"/>
          </w:divBdr>
        </w:div>
        <w:div w:id="857692710">
          <w:marLeft w:val="547"/>
          <w:marRight w:val="0"/>
          <w:marTop w:val="82"/>
          <w:marBottom w:val="0"/>
          <w:divBdr>
            <w:top w:val="none" w:sz="0" w:space="0" w:color="auto"/>
            <w:left w:val="none" w:sz="0" w:space="0" w:color="auto"/>
            <w:bottom w:val="none" w:sz="0" w:space="0" w:color="auto"/>
            <w:right w:val="none" w:sz="0" w:space="0" w:color="auto"/>
          </w:divBdr>
        </w:div>
        <w:div w:id="933519465">
          <w:marLeft w:val="547"/>
          <w:marRight w:val="0"/>
          <w:marTop w:val="82"/>
          <w:marBottom w:val="0"/>
          <w:divBdr>
            <w:top w:val="none" w:sz="0" w:space="0" w:color="auto"/>
            <w:left w:val="none" w:sz="0" w:space="0" w:color="auto"/>
            <w:bottom w:val="none" w:sz="0" w:space="0" w:color="auto"/>
            <w:right w:val="none" w:sz="0" w:space="0" w:color="auto"/>
          </w:divBdr>
        </w:div>
        <w:div w:id="1062098178">
          <w:marLeft w:val="547"/>
          <w:marRight w:val="0"/>
          <w:marTop w:val="82"/>
          <w:marBottom w:val="0"/>
          <w:divBdr>
            <w:top w:val="none" w:sz="0" w:space="0" w:color="auto"/>
            <w:left w:val="none" w:sz="0" w:space="0" w:color="auto"/>
            <w:bottom w:val="none" w:sz="0" w:space="0" w:color="auto"/>
            <w:right w:val="none" w:sz="0" w:space="0" w:color="auto"/>
          </w:divBdr>
        </w:div>
        <w:div w:id="1117793828">
          <w:marLeft w:val="547"/>
          <w:marRight w:val="0"/>
          <w:marTop w:val="82"/>
          <w:marBottom w:val="0"/>
          <w:divBdr>
            <w:top w:val="none" w:sz="0" w:space="0" w:color="auto"/>
            <w:left w:val="none" w:sz="0" w:space="0" w:color="auto"/>
            <w:bottom w:val="none" w:sz="0" w:space="0" w:color="auto"/>
            <w:right w:val="none" w:sz="0" w:space="0" w:color="auto"/>
          </w:divBdr>
        </w:div>
        <w:div w:id="1856187121">
          <w:marLeft w:val="547"/>
          <w:marRight w:val="0"/>
          <w:marTop w:val="82"/>
          <w:marBottom w:val="0"/>
          <w:divBdr>
            <w:top w:val="none" w:sz="0" w:space="0" w:color="auto"/>
            <w:left w:val="none" w:sz="0" w:space="0" w:color="auto"/>
            <w:bottom w:val="none" w:sz="0" w:space="0" w:color="auto"/>
            <w:right w:val="none" w:sz="0" w:space="0" w:color="auto"/>
          </w:divBdr>
        </w:div>
        <w:div w:id="1904946987">
          <w:marLeft w:val="547"/>
          <w:marRight w:val="0"/>
          <w:marTop w:val="82"/>
          <w:marBottom w:val="0"/>
          <w:divBdr>
            <w:top w:val="none" w:sz="0" w:space="0" w:color="auto"/>
            <w:left w:val="none" w:sz="0" w:space="0" w:color="auto"/>
            <w:bottom w:val="none" w:sz="0" w:space="0" w:color="auto"/>
            <w:right w:val="none" w:sz="0" w:space="0" w:color="auto"/>
          </w:divBdr>
        </w:div>
        <w:div w:id="2074892039">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ark:Documents:2014:PEMPAL:assets%20working%20group:TCOP%20-%20non-financialassets%20-%20list%20of%20all%20responses_MS.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Mark:Documents:2014:PEMPAL:assets%20working%20group:TCOP%20-%20non-financialassets%20-%20list%20of%20all%20responses_MS.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Mark:Documents:2014:PEMPAL:assets%20working%20group:TCOP%20-%20non-financialassets%20-%20list%20of%20all%20responses_M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Mark:Documents:2014:PEMPAL:assets%20working%20group:TCOP%20-%20non-financialassets%20-%20list%20of%20all%20responses_M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Mark:Documents:2014:PEMPAL:assets%20working%20group:TCOP%20-%20non-financialassets%20-%20list%20of%20all%20responses_M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Mark:Documents:2014:PEMPAL:assets%20working%20group:TCOP%20-%20non-financialassets%20-%20list%20of%20all%20responses_M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Mark:Documents:2014:PEMPAL:assets%20working%20group:TCOP%20-%20non-financialassets%20-%20list%20of%20all%20responses_M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Mark:Documents:2014:PEMPAL:assets%20working%20group:TCOP%20-%20non-financialassets%20-%20list%20of%20all%20responses_M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Mark:Documents:2014:PEMPAL:assets%20working%20group:TCOP%20-%20non-financialassets%20-%20list%20of%20all%20responses_M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Mark:Documents:2014:PEMPAL:assets%20working%20group:TCOP%20-%20non-financialassets%20-%20list%20of%20all%20responses_M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Mark:Documents:2014:PEMPAL:assets%20working%20group:TCOP%20-%20non-financialassets%20-%20list%20of%20all%20responses_M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Graphs!$E$19</c:f>
              <c:strCache>
                <c:ptCount val="1"/>
                <c:pt idx="0">
                  <c:v>Yes</c:v>
                </c:pt>
              </c:strCache>
            </c:strRef>
          </c:tx>
          <c:invertIfNegative val="0"/>
          <c:cat>
            <c:strRef>
              <c:f>Graphs!$F$18:$G$18</c:f>
              <c:strCache>
                <c:ptCount val="2"/>
                <c:pt idx="0">
                  <c:v>Has your country ever undertaken a stocktake (physical inventory) of non-financial assets?</c:v>
                </c:pt>
                <c:pt idx="1">
                  <c:v>Is a stocktake done on a regular basis, say annually?</c:v>
                </c:pt>
              </c:strCache>
            </c:strRef>
          </c:cat>
          <c:val>
            <c:numRef>
              <c:f>Graphs!$F$19:$G$19</c:f>
              <c:numCache>
                <c:formatCode>General</c:formatCode>
                <c:ptCount val="2"/>
                <c:pt idx="0">
                  <c:v>10</c:v>
                </c:pt>
                <c:pt idx="1">
                  <c:v>10</c:v>
                </c:pt>
              </c:numCache>
            </c:numRef>
          </c:val>
        </c:ser>
        <c:ser>
          <c:idx val="1"/>
          <c:order val="1"/>
          <c:tx>
            <c:strRef>
              <c:f>Graphs!$E$20</c:f>
              <c:strCache>
                <c:ptCount val="1"/>
                <c:pt idx="0">
                  <c:v>No</c:v>
                </c:pt>
              </c:strCache>
            </c:strRef>
          </c:tx>
          <c:invertIfNegative val="0"/>
          <c:cat>
            <c:strRef>
              <c:f>Graphs!$F$18:$G$18</c:f>
              <c:strCache>
                <c:ptCount val="2"/>
                <c:pt idx="0">
                  <c:v>Has your country ever undertaken a stocktake (physical inventory) of non-financial assets?</c:v>
                </c:pt>
                <c:pt idx="1">
                  <c:v>Is a stocktake done on a regular basis, say annually?</c:v>
                </c:pt>
              </c:strCache>
            </c:strRef>
          </c:cat>
          <c:val>
            <c:numRef>
              <c:f>Graphs!$F$20:$G$20</c:f>
              <c:numCache>
                <c:formatCode>General</c:formatCode>
                <c:ptCount val="2"/>
                <c:pt idx="0">
                  <c:v>2</c:v>
                </c:pt>
                <c:pt idx="1">
                  <c:v>2</c:v>
                </c:pt>
              </c:numCache>
            </c:numRef>
          </c:val>
        </c:ser>
        <c:dLbls>
          <c:showLegendKey val="0"/>
          <c:showVal val="0"/>
          <c:showCatName val="0"/>
          <c:showSerName val="0"/>
          <c:showPercent val="0"/>
          <c:showBubbleSize val="0"/>
        </c:dLbls>
        <c:gapWidth val="150"/>
        <c:shape val="cone"/>
        <c:axId val="267831168"/>
        <c:axId val="278897792"/>
        <c:axId val="0"/>
      </c:bar3DChart>
      <c:catAx>
        <c:axId val="267831168"/>
        <c:scaling>
          <c:orientation val="minMax"/>
        </c:scaling>
        <c:delete val="0"/>
        <c:axPos val="b"/>
        <c:numFmt formatCode="General" sourceLinked="1"/>
        <c:majorTickMark val="out"/>
        <c:minorTickMark val="none"/>
        <c:tickLblPos val="nextTo"/>
        <c:crossAx val="278897792"/>
        <c:crosses val="autoZero"/>
        <c:auto val="1"/>
        <c:lblAlgn val="ctr"/>
        <c:lblOffset val="100"/>
        <c:noMultiLvlLbl val="0"/>
      </c:catAx>
      <c:valAx>
        <c:axId val="278897792"/>
        <c:scaling>
          <c:orientation val="minMax"/>
        </c:scaling>
        <c:delete val="0"/>
        <c:axPos val="l"/>
        <c:majorGridlines/>
        <c:numFmt formatCode="General" sourceLinked="1"/>
        <c:majorTickMark val="out"/>
        <c:minorTickMark val="none"/>
        <c:tickLblPos val="nextTo"/>
        <c:crossAx val="267831168"/>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797968924373599"/>
          <c:y val="7.0011668611435193E-2"/>
          <c:w val="0.88843672358550596"/>
          <c:h val="0.57622175874456805"/>
        </c:manualLayout>
      </c:layout>
      <c:bar3DChart>
        <c:barDir val="col"/>
        <c:grouping val="clustered"/>
        <c:varyColors val="0"/>
        <c:ser>
          <c:idx val="0"/>
          <c:order val="0"/>
          <c:invertIfNegative val="0"/>
          <c:cat>
            <c:strRef>
              <c:f>Graphs!$CC$18:$CC$21</c:f>
              <c:strCache>
                <c:ptCount val="4"/>
                <c:pt idx="0">
                  <c:v>Expensed on Acquisition</c:v>
                </c:pt>
                <c:pt idx="1">
                  <c:v>Recorded at historical cost</c:v>
                </c:pt>
                <c:pt idx="2">
                  <c:v>Expensed when put into operation</c:v>
                </c:pt>
                <c:pt idx="3">
                  <c:v>Not treated differently</c:v>
                </c:pt>
              </c:strCache>
            </c:strRef>
          </c:cat>
          <c:val>
            <c:numRef>
              <c:f>Graphs!$CD$18:$CD$21</c:f>
              <c:numCache>
                <c:formatCode>General</c:formatCode>
                <c:ptCount val="4"/>
                <c:pt idx="0">
                  <c:v>6</c:v>
                </c:pt>
                <c:pt idx="1">
                  <c:v>2</c:v>
                </c:pt>
                <c:pt idx="2">
                  <c:v>1</c:v>
                </c:pt>
                <c:pt idx="3">
                  <c:v>1</c:v>
                </c:pt>
              </c:numCache>
            </c:numRef>
          </c:val>
        </c:ser>
        <c:dLbls>
          <c:showLegendKey val="0"/>
          <c:showVal val="0"/>
          <c:showCatName val="0"/>
          <c:showSerName val="0"/>
          <c:showPercent val="0"/>
          <c:showBubbleSize val="0"/>
        </c:dLbls>
        <c:gapWidth val="150"/>
        <c:shape val="pyramid"/>
        <c:axId val="213928960"/>
        <c:axId val="213930752"/>
        <c:axId val="0"/>
      </c:bar3DChart>
      <c:catAx>
        <c:axId val="213928960"/>
        <c:scaling>
          <c:orientation val="minMax"/>
        </c:scaling>
        <c:delete val="0"/>
        <c:axPos val="b"/>
        <c:majorTickMark val="out"/>
        <c:minorTickMark val="none"/>
        <c:tickLblPos val="nextTo"/>
        <c:txPr>
          <a:bodyPr/>
          <a:lstStyle/>
          <a:p>
            <a:pPr>
              <a:defRPr sz="800"/>
            </a:pPr>
            <a:endParaRPr lang="en-US"/>
          </a:p>
        </c:txPr>
        <c:crossAx val="213930752"/>
        <c:crosses val="autoZero"/>
        <c:auto val="1"/>
        <c:lblAlgn val="ctr"/>
        <c:lblOffset val="100"/>
        <c:noMultiLvlLbl val="0"/>
      </c:catAx>
      <c:valAx>
        <c:axId val="213930752"/>
        <c:scaling>
          <c:orientation val="minMax"/>
        </c:scaling>
        <c:delete val="0"/>
        <c:axPos val="l"/>
        <c:majorGridlines/>
        <c:numFmt formatCode="General" sourceLinked="1"/>
        <c:majorTickMark val="out"/>
        <c:minorTickMark val="none"/>
        <c:tickLblPos val="nextTo"/>
        <c:crossAx val="21392896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Graphs!$CF$18</c:f>
              <c:strCache>
                <c:ptCount val="1"/>
                <c:pt idx="0">
                  <c:v>Do you Revalue Assets?</c:v>
                </c:pt>
              </c:strCache>
            </c:strRef>
          </c:tx>
          <c:invertIfNegative val="0"/>
          <c:cat>
            <c:strRef>
              <c:f>Graphs!$CE$19:$CE$20</c:f>
              <c:strCache>
                <c:ptCount val="2"/>
                <c:pt idx="0">
                  <c:v>Yes</c:v>
                </c:pt>
                <c:pt idx="1">
                  <c:v>No</c:v>
                </c:pt>
              </c:strCache>
            </c:strRef>
          </c:cat>
          <c:val>
            <c:numRef>
              <c:f>Graphs!$CF$19:$CF$20</c:f>
              <c:numCache>
                <c:formatCode>General</c:formatCode>
                <c:ptCount val="2"/>
                <c:pt idx="0">
                  <c:v>7</c:v>
                </c:pt>
                <c:pt idx="1">
                  <c:v>4</c:v>
                </c:pt>
              </c:numCache>
            </c:numRef>
          </c:val>
        </c:ser>
        <c:dLbls>
          <c:showLegendKey val="0"/>
          <c:showVal val="0"/>
          <c:showCatName val="0"/>
          <c:showSerName val="0"/>
          <c:showPercent val="0"/>
          <c:showBubbleSize val="0"/>
        </c:dLbls>
        <c:gapWidth val="150"/>
        <c:axId val="213942272"/>
        <c:axId val="213943808"/>
      </c:barChart>
      <c:catAx>
        <c:axId val="213942272"/>
        <c:scaling>
          <c:orientation val="minMax"/>
        </c:scaling>
        <c:delete val="0"/>
        <c:axPos val="b"/>
        <c:numFmt formatCode="General" sourceLinked="1"/>
        <c:majorTickMark val="out"/>
        <c:minorTickMark val="none"/>
        <c:tickLblPos val="nextTo"/>
        <c:crossAx val="213943808"/>
        <c:crosses val="autoZero"/>
        <c:auto val="1"/>
        <c:lblAlgn val="ctr"/>
        <c:lblOffset val="100"/>
        <c:noMultiLvlLbl val="0"/>
      </c:catAx>
      <c:valAx>
        <c:axId val="213943808"/>
        <c:scaling>
          <c:orientation val="minMax"/>
          <c:min val="0"/>
        </c:scaling>
        <c:delete val="0"/>
        <c:axPos val="l"/>
        <c:majorGridlines/>
        <c:numFmt formatCode="General" sourceLinked="1"/>
        <c:majorTickMark val="out"/>
        <c:minorTickMark val="none"/>
        <c:tickLblPos val="nextTo"/>
        <c:crossAx val="2139422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hPercent val="184"/>
      <c:rotY val="20"/>
      <c:depthPercent val="100"/>
      <c:rAngAx val="0"/>
      <c:perspective val="30"/>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bar3DChart>
        <c:barDir val="bar"/>
        <c:grouping val="stacked"/>
        <c:varyColors val="0"/>
        <c:ser>
          <c:idx val="0"/>
          <c:order val="0"/>
          <c:tx>
            <c:strRef>
              <c:f>Graphs!$F$22:$F$23</c:f>
              <c:strCache>
                <c:ptCount val="1"/>
                <c:pt idx="0">
                  <c:v>Frequency of the stocktake</c:v>
                </c:pt>
              </c:strCache>
            </c:strRef>
          </c:tx>
          <c:invertIfNegative val="0"/>
          <c:cat>
            <c:strRef>
              <c:f>Graphs!$E$24:$E$26</c:f>
              <c:strCache>
                <c:ptCount val="3"/>
                <c:pt idx="0">
                  <c:v>annually</c:v>
                </c:pt>
                <c:pt idx="1">
                  <c:v>Two yearly</c:v>
                </c:pt>
                <c:pt idx="2">
                  <c:v>Does not take place</c:v>
                </c:pt>
              </c:strCache>
            </c:strRef>
          </c:cat>
          <c:val>
            <c:numRef>
              <c:f>Graphs!$F$24:$F$26</c:f>
              <c:numCache>
                <c:formatCode>General</c:formatCode>
                <c:ptCount val="3"/>
                <c:pt idx="0">
                  <c:v>8</c:v>
                </c:pt>
                <c:pt idx="1">
                  <c:v>1</c:v>
                </c:pt>
                <c:pt idx="2">
                  <c:v>2</c:v>
                </c:pt>
              </c:numCache>
            </c:numRef>
          </c:val>
        </c:ser>
        <c:dLbls>
          <c:showLegendKey val="0"/>
          <c:showVal val="0"/>
          <c:showCatName val="0"/>
          <c:showSerName val="0"/>
          <c:showPercent val="0"/>
          <c:showBubbleSize val="0"/>
        </c:dLbls>
        <c:gapWidth val="150"/>
        <c:shape val="box"/>
        <c:axId val="214014976"/>
        <c:axId val="214020864"/>
        <c:axId val="0"/>
      </c:bar3DChart>
      <c:catAx>
        <c:axId val="214014976"/>
        <c:scaling>
          <c:orientation val="minMax"/>
        </c:scaling>
        <c:delete val="0"/>
        <c:axPos val="l"/>
        <c:numFmt formatCode="General" sourceLinked="1"/>
        <c:majorTickMark val="out"/>
        <c:minorTickMark val="none"/>
        <c:tickLblPos val="nextTo"/>
        <c:crossAx val="214020864"/>
        <c:crosses val="autoZero"/>
        <c:auto val="1"/>
        <c:lblAlgn val="ctr"/>
        <c:lblOffset val="100"/>
        <c:noMultiLvlLbl val="0"/>
      </c:catAx>
      <c:valAx>
        <c:axId val="214020864"/>
        <c:scaling>
          <c:orientation val="minMax"/>
        </c:scaling>
        <c:delete val="0"/>
        <c:axPos val="b"/>
        <c:majorGridlines/>
        <c:numFmt formatCode="General" sourceLinked="1"/>
        <c:majorTickMark val="out"/>
        <c:minorTickMark val="none"/>
        <c:tickLblPos val="nextTo"/>
        <c:crossAx val="214014976"/>
        <c:crosses val="autoZero"/>
        <c:crossBetween val="between"/>
      </c:valAx>
      <c:spPr>
        <a:noFill/>
        <a:ln w="25400">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Graphs!$H$19</c:f>
              <c:strCache>
                <c:ptCount val="1"/>
                <c:pt idx="0">
                  <c:v>Yes</c:v>
                </c:pt>
              </c:strCache>
            </c:strRef>
          </c:tx>
          <c:invertIfNegative val="0"/>
          <c:cat>
            <c:strRef>
              <c:f>Graphs!$I$18:$L$18</c:f>
              <c:strCache>
                <c:ptCount val="4"/>
                <c:pt idx="0">
                  <c:v>Compare physical assets to asset records?</c:v>
                </c:pt>
                <c:pt idx="1">
                  <c:v>Identify each asset by some unique mark or number?</c:v>
                </c:pt>
                <c:pt idx="2">
                  <c:v>Record the location of each asset?</c:v>
                </c:pt>
                <c:pt idx="3">
                  <c:v>Record the condition of each asset?</c:v>
                </c:pt>
              </c:strCache>
            </c:strRef>
          </c:cat>
          <c:val>
            <c:numRef>
              <c:f>Graphs!$I$19:$L$19</c:f>
              <c:numCache>
                <c:formatCode>General</c:formatCode>
                <c:ptCount val="4"/>
                <c:pt idx="0">
                  <c:v>9</c:v>
                </c:pt>
                <c:pt idx="1">
                  <c:v>8</c:v>
                </c:pt>
                <c:pt idx="2">
                  <c:v>8</c:v>
                </c:pt>
                <c:pt idx="3">
                  <c:v>8</c:v>
                </c:pt>
              </c:numCache>
            </c:numRef>
          </c:val>
        </c:ser>
        <c:ser>
          <c:idx val="1"/>
          <c:order val="1"/>
          <c:tx>
            <c:strRef>
              <c:f>Graphs!$H$20</c:f>
              <c:strCache>
                <c:ptCount val="1"/>
                <c:pt idx="0">
                  <c:v>No</c:v>
                </c:pt>
              </c:strCache>
            </c:strRef>
          </c:tx>
          <c:invertIfNegative val="0"/>
          <c:cat>
            <c:strRef>
              <c:f>Graphs!$I$18:$L$18</c:f>
              <c:strCache>
                <c:ptCount val="4"/>
                <c:pt idx="0">
                  <c:v>Compare physical assets to asset records?</c:v>
                </c:pt>
                <c:pt idx="1">
                  <c:v>Identify each asset by some unique mark or number?</c:v>
                </c:pt>
                <c:pt idx="2">
                  <c:v>Record the location of each asset?</c:v>
                </c:pt>
                <c:pt idx="3">
                  <c:v>Record the condition of each asset?</c:v>
                </c:pt>
              </c:strCache>
            </c:strRef>
          </c:cat>
          <c:val>
            <c:numRef>
              <c:f>Graphs!$I$20:$L$20</c:f>
              <c:numCache>
                <c:formatCode>General</c:formatCode>
                <c:ptCount val="4"/>
                <c:pt idx="0">
                  <c:v>1</c:v>
                </c:pt>
                <c:pt idx="1">
                  <c:v>1</c:v>
                </c:pt>
                <c:pt idx="2">
                  <c:v>1</c:v>
                </c:pt>
                <c:pt idx="3">
                  <c:v>1</c:v>
                </c:pt>
              </c:numCache>
            </c:numRef>
          </c:val>
        </c:ser>
        <c:dLbls>
          <c:showLegendKey val="0"/>
          <c:showVal val="0"/>
          <c:showCatName val="0"/>
          <c:showSerName val="0"/>
          <c:showPercent val="0"/>
          <c:showBubbleSize val="0"/>
        </c:dLbls>
        <c:gapWidth val="150"/>
        <c:shape val="cylinder"/>
        <c:axId val="210117760"/>
        <c:axId val="210119296"/>
        <c:axId val="0"/>
      </c:bar3DChart>
      <c:catAx>
        <c:axId val="210117760"/>
        <c:scaling>
          <c:orientation val="minMax"/>
        </c:scaling>
        <c:delete val="0"/>
        <c:axPos val="b"/>
        <c:numFmt formatCode="General" sourceLinked="1"/>
        <c:majorTickMark val="out"/>
        <c:minorTickMark val="none"/>
        <c:tickLblPos val="nextTo"/>
        <c:crossAx val="210119296"/>
        <c:crosses val="autoZero"/>
        <c:auto val="1"/>
        <c:lblAlgn val="ctr"/>
        <c:lblOffset val="100"/>
        <c:noMultiLvlLbl val="0"/>
      </c:catAx>
      <c:valAx>
        <c:axId val="210119296"/>
        <c:scaling>
          <c:orientation val="minMax"/>
        </c:scaling>
        <c:delete val="0"/>
        <c:axPos val="l"/>
        <c:majorGridlines/>
        <c:numFmt formatCode="General" sourceLinked="1"/>
        <c:majorTickMark val="out"/>
        <c:minorTickMark val="none"/>
        <c:tickLblPos val="nextTo"/>
        <c:crossAx val="210117760"/>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Graphs!$M$19</c:f>
              <c:strCache>
                <c:ptCount val="1"/>
                <c:pt idx="0">
                  <c:v>Yes</c:v>
                </c:pt>
              </c:strCache>
            </c:strRef>
          </c:tx>
          <c:invertIfNegative val="0"/>
          <c:cat>
            <c:strRef>
              <c:f>Graphs!$N$18:$O$18</c:f>
              <c:strCache>
                <c:ptCount val="2"/>
                <c:pt idx="0">
                  <c:v>Have you established clear classes of assets, which are used for reporting and management in the Chart of Accounts? </c:v>
                </c:pt>
                <c:pt idx="1">
                  <c:v>Do records separately identify current and capital non-financial assets? </c:v>
                </c:pt>
              </c:strCache>
            </c:strRef>
          </c:cat>
          <c:val>
            <c:numRef>
              <c:f>Graphs!$N$19:$O$19</c:f>
              <c:numCache>
                <c:formatCode>General</c:formatCode>
                <c:ptCount val="2"/>
                <c:pt idx="0">
                  <c:v>12</c:v>
                </c:pt>
                <c:pt idx="1">
                  <c:v>11</c:v>
                </c:pt>
              </c:numCache>
            </c:numRef>
          </c:val>
        </c:ser>
        <c:ser>
          <c:idx val="1"/>
          <c:order val="1"/>
          <c:tx>
            <c:strRef>
              <c:f>Graphs!$M$20</c:f>
              <c:strCache>
                <c:ptCount val="1"/>
                <c:pt idx="0">
                  <c:v>No</c:v>
                </c:pt>
              </c:strCache>
            </c:strRef>
          </c:tx>
          <c:invertIfNegative val="0"/>
          <c:cat>
            <c:strRef>
              <c:f>Graphs!$N$18:$O$18</c:f>
              <c:strCache>
                <c:ptCount val="2"/>
                <c:pt idx="0">
                  <c:v>Have you established clear classes of assets, which are used for reporting and management in the Chart of Accounts? </c:v>
                </c:pt>
                <c:pt idx="1">
                  <c:v>Do records separately identify current and capital non-financial assets? </c:v>
                </c:pt>
              </c:strCache>
            </c:strRef>
          </c:cat>
          <c:val>
            <c:numRef>
              <c:f>Graphs!$N$20:$O$20</c:f>
              <c:numCache>
                <c:formatCode>General</c:formatCode>
                <c:ptCount val="2"/>
                <c:pt idx="0">
                  <c:v>0</c:v>
                </c:pt>
                <c:pt idx="1">
                  <c:v>1</c:v>
                </c:pt>
              </c:numCache>
            </c:numRef>
          </c:val>
        </c:ser>
        <c:dLbls>
          <c:showLegendKey val="0"/>
          <c:showVal val="0"/>
          <c:showCatName val="0"/>
          <c:showSerName val="0"/>
          <c:showPercent val="0"/>
          <c:showBubbleSize val="0"/>
        </c:dLbls>
        <c:gapWidth val="150"/>
        <c:shape val="cylinder"/>
        <c:axId val="210132352"/>
        <c:axId val="213988480"/>
        <c:axId val="0"/>
      </c:bar3DChart>
      <c:catAx>
        <c:axId val="210132352"/>
        <c:scaling>
          <c:orientation val="minMax"/>
        </c:scaling>
        <c:delete val="0"/>
        <c:axPos val="b"/>
        <c:numFmt formatCode="General" sourceLinked="1"/>
        <c:majorTickMark val="out"/>
        <c:minorTickMark val="none"/>
        <c:tickLblPos val="nextTo"/>
        <c:crossAx val="213988480"/>
        <c:crosses val="autoZero"/>
        <c:auto val="1"/>
        <c:lblAlgn val="ctr"/>
        <c:lblOffset val="100"/>
        <c:noMultiLvlLbl val="0"/>
      </c:catAx>
      <c:valAx>
        <c:axId val="213988480"/>
        <c:scaling>
          <c:orientation val="minMax"/>
        </c:scaling>
        <c:delete val="0"/>
        <c:axPos val="l"/>
        <c:majorGridlines/>
        <c:numFmt formatCode="General" sourceLinked="1"/>
        <c:majorTickMark val="out"/>
        <c:minorTickMark val="none"/>
        <c:tickLblPos val="nextTo"/>
        <c:crossAx val="210132352"/>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Graphs!$BI$19</c:f>
              <c:strCache>
                <c:ptCount val="1"/>
                <c:pt idx="0">
                  <c:v>Yes</c:v>
                </c:pt>
              </c:strCache>
            </c:strRef>
          </c:tx>
          <c:invertIfNegative val="0"/>
          <c:cat>
            <c:strRef>
              <c:f>Graphs!$BJ$18:$BR$18</c:f>
              <c:strCache>
                <c:ptCount val="9"/>
                <c:pt idx="0">
                  <c:v>Accounting policies for NF assets?</c:v>
                </c:pt>
                <c:pt idx="1">
                  <c:v>Definition and recognition of non-financial assets</c:v>
                </c:pt>
                <c:pt idx="2">
                  <c:v>Classes of Assets</c:v>
                </c:pt>
                <c:pt idx="3">
                  <c:v>Measurement</c:v>
                </c:pt>
                <c:pt idx="4">
                  <c:v>Depreciation</c:v>
                </c:pt>
                <c:pt idx="5">
                  <c:v>Impairment</c:v>
                </c:pt>
                <c:pt idx="6">
                  <c:v>Asset Thresholds for materiality</c:v>
                </c:pt>
                <c:pt idx="7">
                  <c:v>Low value assets</c:v>
                </c:pt>
                <c:pt idx="8">
                  <c:v>Componentisation</c:v>
                </c:pt>
              </c:strCache>
            </c:strRef>
          </c:cat>
          <c:val>
            <c:numRef>
              <c:f>Graphs!$BJ$19:$BR$19</c:f>
              <c:numCache>
                <c:formatCode>General</c:formatCode>
                <c:ptCount val="9"/>
                <c:pt idx="0">
                  <c:v>10</c:v>
                </c:pt>
                <c:pt idx="1">
                  <c:v>10</c:v>
                </c:pt>
                <c:pt idx="2">
                  <c:v>10</c:v>
                </c:pt>
                <c:pt idx="3">
                  <c:v>9</c:v>
                </c:pt>
                <c:pt idx="4">
                  <c:v>9</c:v>
                </c:pt>
                <c:pt idx="5">
                  <c:v>7</c:v>
                </c:pt>
                <c:pt idx="6">
                  <c:v>8</c:v>
                </c:pt>
                <c:pt idx="7">
                  <c:v>8</c:v>
                </c:pt>
                <c:pt idx="8">
                  <c:v>5</c:v>
                </c:pt>
              </c:numCache>
            </c:numRef>
          </c:val>
        </c:ser>
        <c:ser>
          <c:idx val="1"/>
          <c:order val="1"/>
          <c:tx>
            <c:strRef>
              <c:f>Graphs!$BI$20</c:f>
              <c:strCache>
                <c:ptCount val="1"/>
                <c:pt idx="0">
                  <c:v>No</c:v>
                </c:pt>
              </c:strCache>
            </c:strRef>
          </c:tx>
          <c:invertIfNegative val="0"/>
          <c:cat>
            <c:strRef>
              <c:f>Graphs!$BJ$18:$BR$18</c:f>
              <c:strCache>
                <c:ptCount val="9"/>
                <c:pt idx="0">
                  <c:v>Accounting policies for NF assets?</c:v>
                </c:pt>
                <c:pt idx="1">
                  <c:v>Definition and recognition of non-financial assets</c:v>
                </c:pt>
                <c:pt idx="2">
                  <c:v>Classes of Assets</c:v>
                </c:pt>
                <c:pt idx="3">
                  <c:v>Measurement</c:v>
                </c:pt>
                <c:pt idx="4">
                  <c:v>Depreciation</c:v>
                </c:pt>
                <c:pt idx="5">
                  <c:v>Impairment</c:v>
                </c:pt>
                <c:pt idx="6">
                  <c:v>Asset Thresholds for materiality</c:v>
                </c:pt>
                <c:pt idx="7">
                  <c:v>Low value assets</c:v>
                </c:pt>
                <c:pt idx="8">
                  <c:v>Componentisation</c:v>
                </c:pt>
              </c:strCache>
            </c:strRef>
          </c:cat>
          <c:val>
            <c:numRef>
              <c:f>Graphs!$BJ$20:$BR$20</c:f>
              <c:numCache>
                <c:formatCode>General</c:formatCode>
                <c:ptCount val="9"/>
                <c:pt idx="0">
                  <c:v>2</c:v>
                </c:pt>
                <c:pt idx="1">
                  <c:v>2</c:v>
                </c:pt>
                <c:pt idx="2">
                  <c:v>2</c:v>
                </c:pt>
                <c:pt idx="3">
                  <c:v>3</c:v>
                </c:pt>
                <c:pt idx="4">
                  <c:v>3</c:v>
                </c:pt>
                <c:pt idx="5">
                  <c:v>5</c:v>
                </c:pt>
                <c:pt idx="6">
                  <c:v>4</c:v>
                </c:pt>
                <c:pt idx="7">
                  <c:v>4</c:v>
                </c:pt>
                <c:pt idx="8">
                  <c:v>7</c:v>
                </c:pt>
              </c:numCache>
            </c:numRef>
          </c:val>
        </c:ser>
        <c:dLbls>
          <c:showLegendKey val="0"/>
          <c:showVal val="0"/>
          <c:showCatName val="0"/>
          <c:showSerName val="0"/>
          <c:showPercent val="0"/>
          <c:showBubbleSize val="0"/>
        </c:dLbls>
        <c:gapWidth val="150"/>
        <c:axId val="282617344"/>
        <c:axId val="282618880"/>
      </c:barChart>
      <c:catAx>
        <c:axId val="282617344"/>
        <c:scaling>
          <c:orientation val="minMax"/>
        </c:scaling>
        <c:delete val="0"/>
        <c:axPos val="b"/>
        <c:numFmt formatCode="General" sourceLinked="1"/>
        <c:majorTickMark val="out"/>
        <c:minorTickMark val="none"/>
        <c:tickLblPos val="nextTo"/>
        <c:crossAx val="282618880"/>
        <c:crosses val="autoZero"/>
        <c:auto val="1"/>
        <c:lblAlgn val="ctr"/>
        <c:lblOffset val="100"/>
        <c:noMultiLvlLbl val="0"/>
      </c:catAx>
      <c:valAx>
        <c:axId val="282618880"/>
        <c:scaling>
          <c:orientation val="minMax"/>
        </c:scaling>
        <c:delete val="0"/>
        <c:axPos val="l"/>
        <c:majorGridlines/>
        <c:numFmt formatCode="General" sourceLinked="1"/>
        <c:majorTickMark val="out"/>
        <c:minorTickMark val="none"/>
        <c:tickLblPos val="nextTo"/>
        <c:crossAx val="28261734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Graphs!$BT$18</c:f>
              <c:strCache>
                <c:ptCount val="1"/>
                <c:pt idx="0">
                  <c:v>Does your country maintain an assets Register</c:v>
                </c:pt>
              </c:strCache>
            </c:strRef>
          </c:tx>
          <c:invertIfNegative val="0"/>
          <c:cat>
            <c:strRef>
              <c:f>Graphs!$BS$19:$BS$20</c:f>
              <c:strCache>
                <c:ptCount val="2"/>
                <c:pt idx="0">
                  <c:v>yes</c:v>
                </c:pt>
                <c:pt idx="1">
                  <c:v>no</c:v>
                </c:pt>
              </c:strCache>
            </c:strRef>
          </c:cat>
          <c:val>
            <c:numRef>
              <c:f>Graphs!$BT$19:$BT$20</c:f>
              <c:numCache>
                <c:formatCode>General</c:formatCode>
                <c:ptCount val="2"/>
                <c:pt idx="0">
                  <c:v>9</c:v>
                </c:pt>
                <c:pt idx="1">
                  <c:v>3</c:v>
                </c:pt>
              </c:numCache>
            </c:numRef>
          </c:val>
        </c:ser>
        <c:dLbls>
          <c:showLegendKey val="0"/>
          <c:showVal val="0"/>
          <c:showCatName val="0"/>
          <c:showSerName val="0"/>
          <c:showPercent val="0"/>
          <c:showBubbleSize val="0"/>
        </c:dLbls>
        <c:gapWidth val="150"/>
        <c:axId val="213719680"/>
        <c:axId val="213729664"/>
      </c:barChart>
      <c:catAx>
        <c:axId val="213719680"/>
        <c:scaling>
          <c:orientation val="minMax"/>
        </c:scaling>
        <c:delete val="0"/>
        <c:axPos val="b"/>
        <c:numFmt formatCode="General" sourceLinked="1"/>
        <c:majorTickMark val="out"/>
        <c:minorTickMark val="none"/>
        <c:tickLblPos val="nextTo"/>
        <c:crossAx val="213729664"/>
        <c:crosses val="autoZero"/>
        <c:auto val="1"/>
        <c:lblAlgn val="ctr"/>
        <c:lblOffset val="100"/>
        <c:noMultiLvlLbl val="0"/>
      </c:catAx>
      <c:valAx>
        <c:axId val="213729664"/>
        <c:scaling>
          <c:orientation val="minMax"/>
        </c:scaling>
        <c:delete val="0"/>
        <c:axPos val="l"/>
        <c:majorGridlines/>
        <c:numFmt formatCode="General" sourceLinked="1"/>
        <c:majorTickMark val="out"/>
        <c:minorTickMark val="none"/>
        <c:tickLblPos val="nextTo"/>
        <c:crossAx val="213719680"/>
        <c:crosses val="autoZero"/>
        <c:crossBetween val="between"/>
      </c:valAx>
      <c:spPr>
        <a:noFill/>
        <a:ln w="25400">
          <a:noFill/>
        </a:ln>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bar"/>
        <c:grouping val="clustered"/>
        <c:varyColors val="0"/>
        <c:ser>
          <c:idx val="0"/>
          <c:order val="0"/>
          <c:tx>
            <c:strRef>
              <c:f>Graphs!$BV$18</c:f>
              <c:strCache>
                <c:ptCount val="1"/>
                <c:pt idx="0">
                  <c:v>Register is for all assets or Specific classes</c:v>
                </c:pt>
              </c:strCache>
            </c:strRef>
          </c:tx>
          <c:invertIfNegative val="0"/>
          <c:cat>
            <c:strRef>
              <c:f>Graphs!$BU$19:$BU$20</c:f>
              <c:strCache>
                <c:ptCount val="2"/>
                <c:pt idx="0">
                  <c:v>All Assets</c:v>
                </c:pt>
                <c:pt idx="1">
                  <c:v>Specific Classes</c:v>
                </c:pt>
              </c:strCache>
            </c:strRef>
          </c:cat>
          <c:val>
            <c:numRef>
              <c:f>Graphs!$BV$19:$BV$20</c:f>
              <c:numCache>
                <c:formatCode>General</c:formatCode>
                <c:ptCount val="2"/>
                <c:pt idx="0">
                  <c:v>4</c:v>
                </c:pt>
                <c:pt idx="1">
                  <c:v>5</c:v>
                </c:pt>
              </c:numCache>
            </c:numRef>
          </c:val>
        </c:ser>
        <c:dLbls>
          <c:showLegendKey val="0"/>
          <c:showVal val="0"/>
          <c:showCatName val="0"/>
          <c:showSerName val="0"/>
          <c:showPercent val="0"/>
          <c:showBubbleSize val="0"/>
        </c:dLbls>
        <c:gapWidth val="150"/>
        <c:axId val="213736832"/>
        <c:axId val="213742720"/>
      </c:barChart>
      <c:catAx>
        <c:axId val="213736832"/>
        <c:scaling>
          <c:orientation val="minMax"/>
        </c:scaling>
        <c:delete val="0"/>
        <c:axPos val="l"/>
        <c:numFmt formatCode="General" sourceLinked="1"/>
        <c:majorTickMark val="out"/>
        <c:minorTickMark val="none"/>
        <c:tickLblPos val="nextTo"/>
        <c:crossAx val="213742720"/>
        <c:crosses val="autoZero"/>
        <c:auto val="1"/>
        <c:lblAlgn val="ctr"/>
        <c:lblOffset val="100"/>
        <c:noMultiLvlLbl val="0"/>
      </c:catAx>
      <c:valAx>
        <c:axId val="213742720"/>
        <c:scaling>
          <c:orientation val="minMax"/>
        </c:scaling>
        <c:delete val="0"/>
        <c:axPos val="b"/>
        <c:majorGridlines/>
        <c:numFmt formatCode="General" sourceLinked="1"/>
        <c:majorTickMark val="out"/>
        <c:minorTickMark val="none"/>
        <c:tickLblPos val="nextTo"/>
        <c:crossAx val="213736832"/>
        <c:crosses val="autoZero"/>
        <c:crossBetween val="between"/>
      </c:valAx>
      <c:spPr>
        <a:noFill/>
        <a:ln w="25400">
          <a:noFill/>
        </a:ln>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Graphs!$BX$18</c:f>
              <c:strCache>
                <c:ptCount val="1"/>
                <c:pt idx="0">
                  <c:v>Is the assets’ register maintained centrally </c:v>
                </c:pt>
              </c:strCache>
            </c:strRef>
          </c:tx>
          <c:invertIfNegative val="0"/>
          <c:cat>
            <c:strRef>
              <c:f>Graphs!$BW$19:$BW$21</c:f>
              <c:strCache>
                <c:ptCount val="3"/>
                <c:pt idx="0">
                  <c:v>centrally</c:v>
                </c:pt>
                <c:pt idx="1">
                  <c:v>line ministries</c:v>
                </c:pt>
                <c:pt idx="2">
                  <c:v>both</c:v>
                </c:pt>
              </c:strCache>
            </c:strRef>
          </c:cat>
          <c:val>
            <c:numRef>
              <c:f>Graphs!$BX$19:$BX$21</c:f>
              <c:numCache>
                <c:formatCode>General</c:formatCode>
                <c:ptCount val="3"/>
                <c:pt idx="0">
                  <c:v>2</c:v>
                </c:pt>
                <c:pt idx="1">
                  <c:v>3</c:v>
                </c:pt>
                <c:pt idx="2">
                  <c:v>4</c:v>
                </c:pt>
              </c:numCache>
            </c:numRef>
          </c:val>
        </c:ser>
        <c:dLbls>
          <c:showLegendKey val="0"/>
          <c:showVal val="0"/>
          <c:showCatName val="0"/>
          <c:showSerName val="0"/>
          <c:showPercent val="0"/>
          <c:showBubbleSize val="0"/>
        </c:dLbls>
        <c:gapWidth val="150"/>
        <c:axId val="213754240"/>
        <c:axId val="213755776"/>
      </c:barChart>
      <c:catAx>
        <c:axId val="213754240"/>
        <c:scaling>
          <c:orientation val="minMax"/>
        </c:scaling>
        <c:delete val="0"/>
        <c:axPos val="b"/>
        <c:numFmt formatCode="General" sourceLinked="1"/>
        <c:majorTickMark val="out"/>
        <c:minorTickMark val="none"/>
        <c:tickLblPos val="nextTo"/>
        <c:crossAx val="213755776"/>
        <c:crosses val="autoZero"/>
        <c:auto val="1"/>
        <c:lblAlgn val="ctr"/>
        <c:lblOffset val="100"/>
        <c:noMultiLvlLbl val="0"/>
      </c:catAx>
      <c:valAx>
        <c:axId val="213755776"/>
        <c:scaling>
          <c:orientation val="minMax"/>
        </c:scaling>
        <c:delete val="0"/>
        <c:axPos val="l"/>
        <c:majorGridlines/>
        <c:numFmt formatCode="General" sourceLinked="1"/>
        <c:majorTickMark val="out"/>
        <c:minorTickMark val="none"/>
        <c:tickLblPos val="nextTo"/>
        <c:crossAx val="213754240"/>
        <c:crosses val="autoZero"/>
        <c:crossBetween val="between"/>
      </c:valAx>
      <c:spPr>
        <a:noFill/>
        <a:ln w="25400">
          <a:noFill/>
        </a:ln>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depthPercent val="100"/>
      <c:rAngAx val="1"/>
    </c:view3D>
    <c:floor>
      <c:thickness val="0"/>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Graphs!$BZ$18</c:f>
              <c:strCache>
                <c:ptCount val="1"/>
                <c:pt idx="0">
                  <c:v>Is the assets’ register electronic</c:v>
                </c:pt>
              </c:strCache>
            </c:strRef>
          </c:tx>
          <c:invertIfNegative val="0"/>
          <c:cat>
            <c:strRef>
              <c:f>Graphs!$BY$19:$BY$21</c:f>
              <c:strCache>
                <c:ptCount val="3"/>
                <c:pt idx="0">
                  <c:v>Electronic</c:v>
                </c:pt>
                <c:pt idx="1">
                  <c:v>Manual</c:v>
                </c:pt>
                <c:pt idx="2">
                  <c:v>Both</c:v>
                </c:pt>
              </c:strCache>
            </c:strRef>
          </c:cat>
          <c:val>
            <c:numRef>
              <c:f>Graphs!$BZ$19:$BZ$21</c:f>
              <c:numCache>
                <c:formatCode>General</c:formatCode>
                <c:ptCount val="3"/>
                <c:pt idx="0">
                  <c:v>6</c:v>
                </c:pt>
                <c:pt idx="1">
                  <c:v>1</c:v>
                </c:pt>
                <c:pt idx="2">
                  <c:v>2</c:v>
                </c:pt>
              </c:numCache>
            </c:numRef>
          </c:val>
        </c:ser>
        <c:dLbls>
          <c:showLegendKey val="0"/>
          <c:showVal val="0"/>
          <c:showCatName val="0"/>
          <c:showSerName val="0"/>
          <c:showPercent val="0"/>
          <c:showBubbleSize val="0"/>
        </c:dLbls>
        <c:gapWidth val="150"/>
        <c:shape val="cylinder"/>
        <c:axId val="213772160"/>
        <c:axId val="213773696"/>
        <c:axId val="0"/>
      </c:bar3DChart>
      <c:catAx>
        <c:axId val="213772160"/>
        <c:scaling>
          <c:orientation val="minMax"/>
        </c:scaling>
        <c:delete val="0"/>
        <c:axPos val="b"/>
        <c:numFmt formatCode="General" sourceLinked="1"/>
        <c:majorTickMark val="out"/>
        <c:minorTickMark val="none"/>
        <c:tickLblPos val="nextTo"/>
        <c:crossAx val="213773696"/>
        <c:crosses val="autoZero"/>
        <c:auto val="1"/>
        <c:lblAlgn val="ctr"/>
        <c:lblOffset val="100"/>
        <c:noMultiLvlLbl val="0"/>
      </c:catAx>
      <c:valAx>
        <c:axId val="213773696"/>
        <c:scaling>
          <c:orientation val="minMax"/>
        </c:scaling>
        <c:delete val="0"/>
        <c:axPos val="l"/>
        <c:majorGridlines/>
        <c:numFmt formatCode="General" sourceLinked="1"/>
        <c:majorTickMark val="out"/>
        <c:minorTickMark val="none"/>
        <c:tickLblPos val="nextTo"/>
        <c:crossAx val="213772160"/>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B8983-3FFB-4A1D-9F56-AB134089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4892</Words>
  <Characters>27888</Characters>
  <Application>Microsoft Office Word</Application>
  <DocSecurity>0</DocSecurity>
  <Lines>232</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1</vt:lpstr>
      <vt:lpstr>1</vt:lpstr>
    </vt:vector>
  </TitlesOfParts>
  <Company>Нина_Хауз</Company>
  <LinksUpToDate>false</LinksUpToDate>
  <CharactersWithSpaces>32715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Нина</dc:creator>
  <cp:lastModifiedBy>Ion Chicu</cp:lastModifiedBy>
  <cp:revision>2</cp:revision>
  <cp:lastPrinted>2014-03-26T00:57:00Z</cp:lastPrinted>
  <dcterms:created xsi:type="dcterms:W3CDTF">2014-04-22T16:03:00Z</dcterms:created>
  <dcterms:modified xsi:type="dcterms:W3CDTF">2014-04-22T16:03:00Z</dcterms:modified>
</cp:coreProperties>
</file>