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A79B" w14:textId="77777777" w:rsidR="00C33DDD" w:rsidRDefault="00743E60" w:rsidP="00EF53AE">
      <w:pPr>
        <w:spacing w:afterLines="80" w:after="192"/>
        <w:jc w:val="center"/>
        <w:rPr>
          <w:b/>
          <w:bCs/>
          <w:color w:val="0070C0"/>
          <w:sz w:val="28"/>
          <w:szCs w:val="28"/>
          <w:lang w:eastAsia="bs-Latn-BA"/>
        </w:rPr>
      </w:pPr>
      <w:bookmarkStart w:id="0" w:name="_GoBack"/>
      <w:bookmarkEnd w:id="0"/>
      <w:r w:rsidRPr="002659A3">
        <w:rPr>
          <w:b/>
          <w:color w:val="0070C0"/>
          <w:sz w:val="28"/>
          <w:szCs w:val="28"/>
          <w:lang w:eastAsia="bs-Latn-BA"/>
        </w:rPr>
        <w:t>EVENT REPORT</w:t>
      </w:r>
      <w:r w:rsidRPr="002659A3">
        <w:rPr>
          <w:b/>
          <w:bCs/>
          <w:color w:val="0070C0"/>
          <w:sz w:val="28"/>
          <w:szCs w:val="28"/>
          <w:lang w:eastAsia="bs-Latn-BA"/>
        </w:rPr>
        <w:t xml:space="preserve">: </w:t>
      </w:r>
    </w:p>
    <w:p w14:paraId="560DA71A" w14:textId="77777777" w:rsidR="00C33DDD" w:rsidRDefault="00EF53AE" w:rsidP="00C33DDD">
      <w:pPr>
        <w:spacing w:afterLines="80" w:after="192"/>
        <w:jc w:val="center"/>
        <w:rPr>
          <w:b/>
          <w:bCs/>
          <w:color w:val="0070C0"/>
          <w:sz w:val="28"/>
          <w:szCs w:val="28"/>
          <w:lang w:eastAsia="bs-Latn-BA"/>
        </w:rPr>
      </w:pPr>
      <w:r w:rsidRPr="002659A3">
        <w:rPr>
          <w:b/>
          <w:bCs/>
          <w:color w:val="0070C0"/>
          <w:sz w:val="28"/>
          <w:szCs w:val="28"/>
          <w:lang w:eastAsia="bs-Latn-BA"/>
        </w:rPr>
        <w:t>PEMPAL B</w:t>
      </w:r>
      <w:r w:rsidR="00EA1420" w:rsidRPr="002659A3">
        <w:rPr>
          <w:b/>
          <w:bCs/>
          <w:color w:val="0070C0"/>
          <w:sz w:val="28"/>
          <w:szCs w:val="28"/>
          <w:lang w:eastAsia="bs-Latn-BA"/>
        </w:rPr>
        <w:t>udget Community of Practice (B</w:t>
      </w:r>
      <w:r w:rsidRPr="002659A3">
        <w:rPr>
          <w:b/>
          <w:bCs/>
          <w:color w:val="0070C0"/>
          <w:sz w:val="28"/>
          <w:szCs w:val="28"/>
          <w:lang w:eastAsia="bs-Latn-BA"/>
        </w:rPr>
        <w:t>COP</w:t>
      </w:r>
      <w:r w:rsidR="00EA1420" w:rsidRPr="002659A3">
        <w:rPr>
          <w:b/>
          <w:bCs/>
          <w:color w:val="0070C0"/>
          <w:sz w:val="28"/>
          <w:szCs w:val="28"/>
          <w:lang w:eastAsia="bs-Latn-BA"/>
        </w:rPr>
        <w:t>)</w:t>
      </w:r>
      <w:r w:rsidRPr="002659A3">
        <w:rPr>
          <w:b/>
          <w:bCs/>
          <w:color w:val="0070C0"/>
          <w:sz w:val="28"/>
          <w:szCs w:val="28"/>
          <w:lang w:eastAsia="bs-Latn-BA"/>
        </w:rPr>
        <w:t xml:space="preserve"> </w:t>
      </w:r>
    </w:p>
    <w:p w14:paraId="47BC399A" w14:textId="20B83673" w:rsidR="00C33DDD" w:rsidRDefault="00040B32" w:rsidP="00C33DDD">
      <w:pPr>
        <w:spacing w:afterLines="80" w:after="192"/>
        <w:jc w:val="center"/>
        <w:rPr>
          <w:b/>
          <w:bCs/>
          <w:color w:val="0070C0"/>
          <w:sz w:val="28"/>
          <w:szCs w:val="28"/>
          <w:lang w:eastAsia="bs-Latn-BA"/>
        </w:rPr>
      </w:pPr>
      <w:r>
        <w:rPr>
          <w:b/>
          <w:bCs/>
          <w:color w:val="0070C0"/>
          <w:sz w:val="28"/>
          <w:szCs w:val="28"/>
          <w:lang w:eastAsia="bs-Latn-BA"/>
        </w:rPr>
        <w:t>Workshop on Budget-Related Response to Covid-19 Emergenc</w:t>
      </w:r>
      <w:r w:rsidR="00C33DDD">
        <w:rPr>
          <w:b/>
          <w:bCs/>
          <w:color w:val="0070C0"/>
          <w:sz w:val="28"/>
          <w:szCs w:val="28"/>
          <w:lang w:eastAsia="bs-Latn-BA"/>
        </w:rPr>
        <w:t xml:space="preserve">y              </w:t>
      </w:r>
    </w:p>
    <w:p w14:paraId="204510E3" w14:textId="7F93C930" w:rsidR="005A1144" w:rsidRDefault="00C33DDD" w:rsidP="00EF53AE">
      <w:pPr>
        <w:spacing w:afterLines="80" w:after="192"/>
        <w:jc w:val="center"/>
        <w:rPr>
          <w:b/>
          <w:bCs/>
          <w:color w:val="002060"/>
          <w:sz w:val="22"/>
          <w:szCs w:val="22"/>
          <w:lang w:eastAsia="bs-Latn-BA"/>
        </w:rPr>
      </w:pPr>
      <w:r w:rsidRPr="00116189">
        <w:rPr>
          <w:b/>
          <w:bCs/>
          <w:color w:val="002060"/>
          <w:sz w:val="22"/>
          <w:szCs w:val="22"/>
          <w:lang w:eastAsia="bs-Latn-BA"/>
        </w:rPr>
        <w:t xml:space="preserve">April 9, 2020, Videoconference </w:t>
      </w:r>
    </w:p>
    <w:p w14:paraId="639A324B" w14:textId="085B023A" w:rsidR="00275739" w:rsidRPr="00275739" w:rsidRDefault="00275739" w:rsidP="00275739">
      <w:pPr>
        <w:spacing w:afterLines="80" w:after="192"/>
        <w:rPr>
          <w:b/>
          <w:i/>
          <w:iCs/>
          <w:color w:val="002060"/>
          <w:sz w:val="22"/>
          <w:szCs w:val="22"/>
          <w:lang w:eastAsia="bs-Latn-BA"/>
        </w:rPr>
      </w:pPr>
      <w:r w:rsidRPr="00275739">
        <w:rPr>
          <w:b/>
          <w:bCs/>
          <w:i/>
          <w:iCs/>
          <w:color w:val="002060"/>
          <w:sz w:val="22"/>
          <w:szCs w:val="22"/>
          <w:lang w:eastAsia="bs-Latn-BA"/>
        </w:rPr>
        <w:t>Contents</w:t>
      </w:r>
    </w:p>
    <w:sdt>
      <w:sdtPr>
        <w:rPr>
          <w:rFonts w:ascii="Times New Roman" w:eastAsiaTheme="minorHAnsi" w:hAnsi="Times New Roman" w:cs="Times New Roman"/>
          <w:b w:val="0"/>
          <w:bCs w:val="0"/>
          <w:i/>
          <w:iCs/>
          <w:color w:val="auto"/>
          <w:sz w:val="22"/>
          <w:szCs w:val="22"/>
        </w:rPr>
        <w:id w:val="-140118596"/>
        <w:docPartObj>
          <w:docPartGallery w:val="Table of Contents"/>
          <w:docPartUnique/>
        </w:docPartObj>
      </w:sdtPr>
      <w:sdtEndPr>
        <w:rPr>
          <w:rFonts w:eastAsia="Times New Roman"/>
          <w:b/>
          <w:bCs/>
        </w:rPr>
      </w:sdtEndPr>
      <w:sdtContent>
        <w:p w14:paraId="5F3BFC08" w14:textId="77777777" w:rsidR="005F726F" w:rsidRPr="00275739" w:rsidRDefault="005F726F" w:rsidP="00275739">
          <w:pPr>
            <w:pStyle w:val="TOCHeading1"/>
            <w:spacing w:before="0" w:line="240" w:lineRule="auto"/>
            <w:rPr>
              <w:rFonts w:ascii="Times New Roman" w:hAnsi="Times New Roman" w:cs="Times New Roman"/>
              <w:bCs w:val="0"/>
              <w:i/>
              <w:iCs/>
              <w:sz w:val="20"/>
              <w:szCs w:val="20"/>
            </w:rPr>
          </w:pPr>
        </w:p>
        <w:p w14:paraId="6CE3761B" w14:textId="3675F8A5" w:rsidR="003C6090" w:rsidRPr="003C6090" w:rsidRDefault="005F726F" w:rsidP="003C6090">
          <w:pPr>
            <w:pStyle w:val="TOC1"/>
            <w:tabs>
              <w:tab w:val="left" w:pos="709"/>
              <w:tab w:val="right" w:pos="9350"/>
            </w:tabs>
            <w:spacing w:before="0"/>
            <w:ind w:left="426" w:hanging="426"/>
            <w:rPr>
              <w:rFonts w:ascii="Times New Roman" w:eastAsiaTheme="minorEastAsia" w:hAnsi="Times New Roman"/>
              <w:b w:val="0"/>
              <w:bCs w:val="0"/>
              <w:i w:val="0"/>
              <w:iCs w:val="0"/>
              <w:noProof/>
              <w:sz w:val="20"/>
              <w:szCs w:val="20"/>
              <w:lang w:eastAsia="en-GB"/>
            </w:rPr>
          </w:pPr>
          <w:r w:rsidRPr="003C6090">
            <w:rPr>
              <w:rFonts w:ascii="Times New Roman" w:hAnsi="Times New Roman"/>
              <w:sz w:val="20"/>
              <w:szCs w:val="20"/>
            </w:rPr>
            <w:fldChar w:fldCharType="begin"/>
          </w:r>
          <w:r w:rsidRPr="003C6090">
            <w:rPr>
              <w:rFonts w:ascii="Times New Roman" w:hAnsi="Times New Roman"/>
              <w:sz w:val="20"/>
              <w:szCs w:val="20"/>
            </w:rPr>
            <w:instrText xml:space="preserve"> TOC \o "1-3" \h \z \u </w:instrText>
          </w:r>
          <w:r w:rsidRPr="003C6090">
            <w:rPr>
              <w:rFonts w:ascii="Times New Roman" w:hAnsi="Times New Roman"/>
              <w:sz w:val="20"/>
              <w:szCs w:val="20"/>
            </w:rPr>
            <w:fldChar w:fldCharType="separate"/>
          </w:r>
          <w:hyperlink w:anchor="_Toc38390881" w:history="1">
            <w:r w:rsidR="003C6090" w:rsidRPr="003C6090">
              <w:rPr>
                <w:rStyle w:val="Hyperlink"/>
                <w:rFonts w:ascii="Times New Roman" w:hAnsi="Times New Roman"/>
                <w:i w:val="0"/>
                <w:iCs w:val="0"/>
                <w:noProof/>
                <w:sz w:val="20"/>
                <w:szCs w:val="20"/>
                <w:lang w:eastAsia="bs-Latn-BA"/>
              </w:rPr>
              <w:t>1.</w:t>
            </w:r>
            <w:r w:rsidR="003C6090" w:rsidRPr="003C6090">
              <w:rPr>
                <w:rFonts w:ascii="Times New Roman" w:eastAsiaTheme="minorEastAsia" w:hAnsi="Times New Roman"/>
                <w:b w:val="0"/>
                <w:bCs w:val="0"/>
                <w:i w:val="0"/>
                <w:iCs w:val="0"/>
                <w:noProof/>
                <w:sz w:val="20"/>
                <w:szCs w:val="20"/>
                <w:lang w:eastAsia="en-GB"/>
              </w:rPr>
              <w:tab/>
            </w:r>
            <w:r w:rsidR="003C6090" w:rsidRPr="003C6090">
              <w:rPr>
                <w:rStyle w:val="Hyperlink"/>
                <w:rFonts w:ascii="Times New Roman" w:hAnsi="Times New Roman"/>
                <w:i w:val="0"/>
                <w:iCs w:val="0"/>
                <w:noProof/>
                <w:sz w:val="20"/>
                <w:szCs w:val="20"/>
                <w:lang w:eastAsia="bs-Latn-BA"/>
              </w:rPr>
              <w:t>Background and Event Objective</w:t>
            </w:r>
            <w:r w:rsidR="003C6090" w:rsidRPr="003C6090">
              <w:rPr>
                <w:rFonts w:ascii="Times New Roman" w:hAnsi="Times New Roman"/>
                <w:i w:val="0"/>
                <w:iCs w:val="0"/>
                <w:noProof/>
                <w:webHidden/>
                <w:sz w:val="20"/>
                <w:szCs w:val="20"/>
              </w:rPr>
              <w:tab/>
            </w:r>
            <w:r w:rsidR="003C6090" w:rsidRPr="003C6090">
              <w:rPr>
                <w:rFonts w:ascii="Times New Roman" w:hAnsi="Times New Roman"/>
                <w:i w:val="0"/>
                <w:iCs w:val="0"/>
                <w:noProof/>
                <w:webHidden/>
                <w:sz w:val="20"/>
                <w:szCs w:val="20"/>
              </w:rPr>
              <w:fldChar w:fldCharType="begin"/>
            </w:r>
            <w:r w:rsidR="003C6090" w:rsidRPr="003C6090">
              <w:rPr>
                <w:rFonts w:ascii="Times New Roman" w:hAnsi="Times New Roman"/>
                <w:i w:val="0"/>
                <w:iCs w:val="0"/>
                <w:noProof/>
                <w:webHidden/>
                <w:sz w:val="20"/>
                <w:szCs w:val="20"/>
              </w:rPr>
              <w:instrText xml:space="preserve"> PAGEREF _Toc38390881 \h </w:instrText>
            </w:r>
            <w:r w:rsidR="003C6090" w:rsidRPr="003C6090">
              <w:rPr>
                <w:rFonts w:ascii="Times New Roman" w:hAnsi="Times New Roman"/>
                <w:i w:val="0"/>
                <w:iCs w:val="0"/>
                <w:noProof/>
                <w:webHidden/>
                <w:sz w:val="20"/>
                <w:szCs w:val="20"/>
              </w:rPr>
            </w:r>
            <w:r w:rsidR="003C6090" w:rsidRPr="003C6090">
              <w:rPr>
                <w:rFonts w:ascii="Times New Roman" w:hAnsi="Times New Roman"/>
                <w:i w:val="0"/>
                <w:iCs w:val="0"/>
                <w:noProof/>
                <w:webHidden/>
                <w:sz w:val="20"/>
                <w:szCs w:val="20"/>
              </w:rPr>
              <w:fldChar w:fldCharType="separate"/>
            </w:r>
            <w:r w:rsidR="00E339EB">
              <w:rPr>
                <w:rFonts w:ascii="Times New Roman" w:hAnsi="Times New Roman"/>
                <w:i w:val="0"/>
                <w:iCs w:val="0"/>
                <w:noProof/>
                <w:webHidden/>
                <w:sz w:val="20"/>
                <w:szCs w:val="20"/>
              </w:rPr>
              <w:t>1</w:t>
            </w:r>
            <w:r w:rsidR="003C6090" w:rsidRPr="003C6090">
              <w:rPr>
                <w:rFonts w:ascii="Times New Roman" w:hAnsi="Times New Roman"/>
                <w:i w:val="0"/>
                <w:iCs w:val="0"/>
                <w:noProof/>
                <w:webHidden/>
                <w:sz w:val="20"/>
                <w:szCs w:val="20"/>
              </w:rPr>
              <w:fldChar w:fldCharType="end"/>
            </w:r>
          </w:hyperlink>
        </w:p>
        <w:p w14:paraId="6D36EC68" w14:textId="705E7C13" w:rsidR="003C6090" w:rsidRPr="003C6090" w:rsidRDefault="00967980" w:rsidP="003C6090">
          <w:pPr>
            <w:pStyle w:val="TOC1"/>
            <w:tabs>
              <w:tab w:val="left" w:pos="709"/>
              <w:tab w:val="right" w:pos="9350"/>
            </w:tabs>
            <w:spacing w:before="0"/>
            <w:ind w:left="426" w:hanging="426"/>
            <w:rPr>
              <w:rFonts w:ascii="Times New Roman" w:eastAsiaTheme="minorEastAsia" w:hAnsi="Times New Roman"/>
              <w:b w:val="0"/>
              <w:bCs w:val="0"/>
              <w:i w:val="0"/>
              <w:iCs w:val="0"/>
              <w:noProof/>
              <w:sz w:val="20"/>
              <w:szCs w:val="20"/>
              <w:lang w:eastAsia="en-GB"/>
            </w:rPr>
          </w:pPr>
          <w:hyperlink w:anchor="_Toc38390882" w:history="1">
            <w:r w:rsidR="003C6090" w:rsidRPr="003C6090">
              <w:rPr>
                <w:rStyle w:val="Hyperlink"/>
                <w:rFonts w:ascii="Times New Roman" w:hAnsi="Times New Roman"/>
                <w:i w:val="0"/>
                <w:iCs w:val="0"/>
                <w:noProof/>
                <w:sz w:val="20"/>
                <w:szCs w:val="20"/>
                <w:lang w:eastAsia="bs-Latn-BA"/>
              </w:rPr>
              <w:t>2.</w:t>
            </w:r>
            <w:r w:rsidR="003C6090" w:rsidRPr="003C6090">
              <w:rPr>
                <w:rFonts w:ascii="Times New Roman" w:eastAsiaTheme="minorEastAsia" w:hAnsi="Times New Roman"/>
                <w:b w:val="0"/>
                <w:bCs w:val="0"/>
                <w:i w:val="0"/>
                <w:iCs w:val="0"/>
                <w:noProof/>
                <w:sz w:val="20"/>
                <w:szCs w:val="20"/>
                <w:lang w:eastAsia="en-GB"/>
              </w:rPr>
              <w:tab/>
            </w:r>
            <w:r w:rsidR="003C6090" w:rsidRPr="003C6090">
              <w:rPr>
                <w:rStyle w:val="Hyperlink"/>
                <w:rFonts w:ascii="Times New Roman" w:hAnsi="Times New Roman"/>
                <w:i w:val="0"/>
                <w:iCs w:val="0"/>
                <w:noProof/>
                <w:sz w:val="20"/>
                <w:szCs w:val="20"/>
                <w:lang w:eastAsia="bs-Latn-BA"/>
              </w:rPr>
              <w:t>Overview of Approaches and</w:t>
            </w:r>
            <w:r w:rsidR="00806977">
              <w:rPr>
                <w:rStyle w:val="Hyperlink"/>
                <w:rFonts w:ascii="Times New Roman" w:hAnsi="Times New Roman"/>
                <w:i w:val="0"/>
                <w:iCs w:val="0"/>
                <w:noProof/>
                <w:sz w:val="20"/>
                <w:szCs w:val="20"/>
                <w:lang w:eastAsia="bs-Latn-BA"/>
              </w:rPr>
              <w:t xml:space="preserve"> </w:t>
            </w:r>
            <w:r w:rsidR="003C6090" w:rsidRPr="003C6090">
              <w:rPr>
                <w:rStyle w:val="Hyperlink"/>
                <w:rFonts w:ascii="Times New Roman" w:hAnsi="Times New Roman"/>
                <w:i w:val="0"/>
                <w:iCs w:val="0"/>
                <w:noProof/>
                <w:sz w:val="20"/>
                <w:szCs w:val="20"/>
                <w:lang w:eastAsia="bs-Latn-BA"/>
              </w:rPr>
              <w:t>Advice on Covid-19 Emergency Response of International Organizations</w:t>
            </w:r>
            <w:r w:rsidR="003C6090" w:rsidRPr="003C6090">
              <w:rPr>
                <w:rFonts w:ascii="Times New Roman" w:hAnsi="Times New Roman"/>
                <w:i w:val="0"/>
                <w:iCs w:val="0"/>
                <w:noProof/>
                <w:webHidden/>
                <w:sz w:val="20"/>
                <w:szCs w:val="20"/>
              </w:rPr>
              <w:tab/>
            </w:r>
            <w:r w:rsidR="003C6090" w:rsidRPr="003C6090">
              <w:rPr>
                <w:rFonts w:ascii="Times New Roman" w:hAnsi="Times New Roman"/>
                <w:i w:val="0"/>
                <w:iCs w:val="0"/>
                <w:noProof/>
                <w:webHidden/>
                <w:sz w:val="20"/>
                <w:szCs w:val="20"/>
              </w:rPr>
              <w:fldChar w:fldCharType="begin"/>
            </w:r>
            <w:r w:rsidR="003C6090" w:rsidRPr="003C6090">
              <w:rPr>
                <w:rFonts w:ascii="Times New Roman" w:hAnsi="Times New Roman"/>
                <w:i w:val="0"/>
                <w:iCs w:val="0"/>
                <w:noProof/>
                <w:webHidden/>
                <w:sz w:val="20"/>
                <w:szCs w:val="20"/>
              </w:rPr>
              <w:instrText xml:space="preserve"> PAGEREF _Toc38390882 \h </w:instrText>
            </w:r>
            <w:r w:rsidR="003C6090" w:rsidRPr="003C6090">
              <w:rPr>
                <w:rFonts w:ascii="Times New Roman" w:hAnsi="Times New Roman"/>
                <w:i w:val="0"/>
                <w:iCs w:val="0"/>
                <w:noProof/>
                <w:webHidden/>
                <w:sz w:val="20"/>
                <w:szCs w:val="20"/>
              </w:rPr>
            </w:r>
            <w:r w:rsidR="003C6090" w:rsidRPr="003C6090">
              <w:rPr>
                <w:rFonts w:ascii="Times New Roman" w:hAnsi="Times New Roman"/>
                <w:i w:val="0"/>
                <w:iCs w:val="0"/>
                <w:noProof/>
                <w:webHidden/>
                <w:sz w:val="20"/>
                <w:szCs w:val="20"/>
              </w:rPr>
              <w:fldChar w:fldCharType="separate"/>
            </w:r>
            <w:r w:rsidR="00E339EB">
              <w:rPr>
                <w:rFonts w:ascii="Times New Roman" w:hAnsi="Times New Roman"/>
                <w:i w:val="0"/>
                <w:iCs w:val="0"/>
                <w:noProof/>
                <w:webHidden/>
                <w:sz w:val="20"/>
                <w:szCs w:val="20"/>
              </w:rPr>
              <w:t>1</w:t>
            </w:r>
            <w:r w:rsidR="003C6090" w:rsidRPr="003C6090">
              <w:rPr>
                <w:rFonts w:ascii="Times New Roman" w:hAnsi="Times New Roman"/>
                <w:i w:val="0"/>
                <w:iCs w:val="0"/>
                <w:noProof/>
                <w:webHidden/>
                <w:sz w:val="20"/>
                <w:szCs w:val="20"/>
              </w:rPr>
              <w:fldChar w:fldCharType="end"/>
            </w:r>
          </w:hyperlink>
        </w:p>
        <w:p w14:paraId="6F1842B2" w14:textId="41EE9DD8" w:rsidR="003C6090" w:rsidRPr="003C6090" w:rsidRDefault="00967980" w:rsidP="003C6090">
          <w:pPr>
            <w:pStyle w:val="TOC1"/>
            <w:tabs>
              <w:tab w:val="left" w:pos="709"/>
              <w:tab w:val="right" w:pos="9350"/>
            </w:tabs>
            <w:spacing w:before="0"/>
            <w:ind w:left="851" w:hanging="426"/>
            <w:rPr>
              <w:rFonts w:ascii="Times New Roman" w:eastAsiaTheme="minorEastAsia" w:hAnsi="Times New Roman"/>
              <w:b w:val="0"/>
              <w:bCs w:val="0"/>
              <w:i w:val="0"/>
              <w:iCs w:val="0"/>
              <w:noProof/>
              <w:sz w:val="20"/>
              <w:szCs w:val="20"/>
              <w:lang w:eastAsia="en-GB"/>
            </w:rPr>
          </w:pPr>
          <w:hyperlink w:anchor="_Toc38390883" w:history="1">
            <w:r w:rsidR="003C6090" w:rsidRPr="003C6090">
              <w:rPr>
                <w:rStyle w:val="Hyperlink"/>
                <w:rFonts w:ascii="Times New Roman" w:hAnsi="Times New Roman"/>
                <w:b w:val="0"/>
                <w:bCs w:val="0"/>
                <w:i w:val="0"/>
                <w:iCs w:val="0"/>
                <w:noProof/>
                <w:sz w:val="20"/>
                <w:szCs w:val="20"/>
              </w:rPr>
              <w:t>Core Objectives of Government’s Emergency Related Economic Policy Response</w:t>
            </w:r>
            <w:r w:rsidR="003C6090" w:rsidRPr="003C6090">
              <w:rPr>
                <w:rFonts w:ascii="Times New Roman" w:hAnsi="Times New Roman"/>
                <w:b w:val="0"/>
                <w:bCs w:val="0"/>
                <w:i w:val="0"/>
                <w:iCs w:val="0"/>
                <w:noProof/>
                <w:webHidden/>
                <w:sz w:val="20"/>
                <w:szCs w:val="20"/>
              </w:rPr>
              <w:tab/>
            </w:r>
            <w:r w:rsidR="003C6090" w:rsidRPr="003C6090">
              <w:rPr>
                <w:rFonts w:ascii="Times New Roman" w:hAnsi="Times New Roman"/>
                <w:b w:val="0"/>
                <w:bCs w:val="0"/>
                <w:i w:val="0"/>
                <w:iCs w:val="0"/>
                <w:noProof/>
                <w:webHidden/>
                <w:sz w:val="20"/>
                <w:szCs w:val="20"/>
              </w:rPr>
              <w:fldChar w:fldCharType="begin"/>
            </w:r>
            <w:r w:rsidR="003C6090" w:rsidRPr="003C6090">
              <w:rPr>
                <w:rFonts w:ascii="Times New Roman" w:hAnsi="Times New Roman"/>
                <w:b w:val="0"/>
                <w:bCs w:val="0"/>
                <w:i w:val="0"/>
                <w:iCs w:val="0"/>
                <w:noProof/>
                <w:webHidden/>
                <w:sz w:val="20"/>
                <w:szCs w:val="20"/>
              </w:rPr>
              <w:instrText xml:space="preserve"> PAGEREF _Toc38390883 \h </w:instrText>
            </w:r>
            <w:r w:rsidR="003C6090" w:rsidRPr="003C6090">
              <w:rPr>
                <w:rFonts w:ascii="Times New Roman" w:hAnsi="Times New Roman"/>
                <w:b w:val="0"/>
                <w:bCs w:val="0"/>
                <w:i w:val="0"/>
                <w:iCs w:val="0"/>
                <w:noProof/>
                <w:webHidden/>
                <w:sz w:val="20"/>
                <w:szCs w:val="20"/>
              </w:rPr>
            </w:r>
            <w:r w:rsidR="003C6090" w:rsidRPr="003C6090">
              <w:rPr>
                <w:rFonts w:ascii="Times New Roman" w:hAnsi="Times New Roman"/>
                <w:b w:val="0"/>
                <w:bCs w:val="0"/>
                <w:i w:val="0"/>
                <w:iCs w:val="0"/>
                <w:noProof/>
                <w:webHidden/>
                <w:sz w:val="20"/>
                <w:szCs w:val="20"/>
              </w:rPr>
              <w:fldChar w:fldCharType="separate"/>
            </w:r>
            <w:r w:rsidR="00E339EB">
              <w:rPr>
                <w:rFonts w:ascii="Times New Roman" w:hAnsi="Times New Roman"/>
                <w:b w:val="0"/>
                <w:bCs w:val="0"/>
                <w:i w:val="0"/>
                <w:iCs w:val="0"/>
                <w:noProof/>
                <w:webHidden/>
                <w:sz w:val="20"/>
                <w:szCs w:val="20"/>
              </w:rPr>
              <w:t>2</w:t>
            </w:r>
            <w:r w:rsidR="003C6090" w:rsidRPr="003C6090">
              <w:rPr>
                <w:rFonts w:ascii="Times New Roman" w:hAnsi="Times New Roman"/>
                <w:b w:val="0"/>
                <w:bCs w:val="0"/>
                <w:i w:val="0"/>
                <w:iCs w:val="0"/>
                <w:noProof/>
                <w:webHidden/>
                <w:sz w:val="20"/>
                <w:szCs w:val="20"/>
              </w:rPr>
              <w:fldChar w:fldCharType="end"/>
            </w:r>
          </w:hyperlink>
        </w:p>
        <w:p w14:paraId="10C39CAE" w14:textId="422C6477" w:rsidR="003C6090" w:rsidRPr="003C6090" w:rsidRDefault="00967980" w:rsidP="003C6090">
          <w:pPr>
            <w:pStyle w:val="TOC1"/>
            <w:tabs>
              <w:tab w:val="left" w:pos="709"/>
              <w:tab w:val="right" w:pos="9350"/>
            </w:tabs>
            <w:spacing w:before="0"/>
            <w:ind w:left="851" w:hanging="426"/>
            <w:rPr>
              <w:rFonts w:ascii="Times New Roman" w:eastAsiaTheme="minorEastAsia" w:hAnsi="Times New Roman"/>
              <w:b w:val="0"/>
              <w:bCs w:val="0"/>
              <w:i w:val="0"/>
              <w:iCs w:val="0"/>
              <w:noProof/>
              <w:sz w:val="20"/>
              <w:szCs w:val="20"/>
              <w:lang w:eastAsia="en-GB"/>
            </w:rPr>
          </w:pPr>
          <w:hyperlink w:anchor="_Toc38390884" w:history="1">
            <w:r w:rsidR="003C6090" w:rsidRPr="003C6090">
              <w:rPr>
                <w:rStyle w:val="Hyperlink"/>
                <w:rFonts w:ascii="Times New Roman" w:hAnsi="Times New Roman"/>
                <w:b w:val="0"/>
                <w:bCs w:val="0"/>
                <w:i w:val="0"/>
                <w:iCs w:val="0"/>
                <w:noProof/>
                <w:sz w:val="20"/>
                <w:szCs w:val="20"/>
              </w:rPr>
              <w:t>Ensuring Business Continuity in the Ministries of Finance and Treasuries</w:t>
            </w:r>
            <w:r w:rsidR="003C6090" w:rsidRPr="003C6090">
              <w:rPr>
                <w:rFonts w:ascii="Times New Roman" w:hAnsi="Times New Roman"/>
                <w:b w:val="0"/>
                <w:bCs w:val="0"/>
                <w:i w:val="0"/>
                <w:iCs w:val="0"/>
                <w:noProof/>
                <w:webHidden/>
                <w:sz w:val="20"/>
                <w:szCs w:val="20"/>
              </w:rPr>
              <w:tab/>
            </w:r>
            <w:r w:rsidR="003C6090" w:rsidRPr="003C6090">
              <w:rPr>
                <w:rFonts w:ascii="Times New Roman" w:hAnsi="Times New Roman"/>
                <w:b w:val="0"/>
                <w:bCs w:val="0"/>
                <w:i w:val="0"/>
                <w:iCs w:val="0"/>
                <w:noProof/>
                <w:webHidden/>
                <w:sz w:val="20"/>
                <w:szCs w:val="20"/>
              </w:rPr>
              <w:fldChar w:fldCharType="begin"/>
            </w:r>
            <w:r w:rsidR="003C6090" w:rsidRPr="003C6090">
              <w:rPr>
                <w:rFonts w:ascii="Times New Roman" w:hAnsi="Times New Roman"/>
                <w:b w:val="0"/>
                <w:bCs w:val="0"/>
                <w:i w:val="0"/>
                <w:iCs w:val="0"/>
                <w:noProof/>
                <w:webHidden/>
                <w:sz w:val="20"/>
                <w:szCs w:val="20"/>
              </w:rPr>
              <w:instrText xml:space="preserve"> PAGEREF _Toc38390884 \h </w:instrText>
            </w:r>
            <w:r w:rsidR="003C6090" w:rsidRPr="003C6090">
              <w:rPr>
                <w:rFonts w:ascii="Times New Roman" w:hAnsi="Times New Roman"/>
                <w:b w:val="0"/>
                <w:bCs w:val="0"/>
                <w:i w:val="0"/>
                <w:iCs w:val="0"/>
                <w:noProof/>
                <w:webHidden/>
                <w:sz w:val="20"/>
                <w:szCs w:val="20"/>
              </w:rPr>
            </w:r>
            <w:r w:rsidR="003C6090" w:rsidRPr="003C6090">
              <w:rPr>
                <w:rFonts w:ascii="Times New Roman" w:hAnsi="Times New Roman"/>
                <w:b w:val="0"/>
                <w:bCs w:val="0"/>
                <w:i w:val="0"/>
                <w:iCs w:val="0"/>
                <w:noProof/>
                <w:webHidden/>
                <w:sz w:val="20"/>
                <w:szCs w:val="20"/>
              </w:rPr>
              <w:fldChar w:fldCharType="separate"/>
            </w:r>
            <w:r w:rsidR="00E339EB">
              <w:rPr>
                <w:rFonts w:ascii="Times New Roman" w:hAnsi="Times New Roman"/>
                <w:b w:val="0"/>
                <w:bCs w:val="0"/>
                <w:i w:val="0"/>
                <w:iCs w:val="0"/>
                <w:noProof/>
                <w:webHidden/>
                <w:sz w:val="20"/>
                <w:szCs w:val="20"/>
              </w:rPr>
              <w:t>2</w:t>
            </w:r>
            <w:r w:rsidR="003C6090" w:rsidRPr="003C6090">
              <w:rPr>
                <w:rFonts w:ascii="Times New Roman" w:hAnsi="Times New Roman"/>
                <w:b w:val="0"/>
                <w:bCs w:val="0"/>
                <w:i w:val="0"/>
                <w:iCs w:val="0"/>
                <w:noProof/>
                <w:webHidden/>
                <w:sz w:val="20"/>
                <w:szCs w:val="20"/>
              </w:rPr>
              <w:fldChar w:fldCharType="end"/>
            </w:r>
          </w:hyperlink>
        </w:p>
        <w:p w14:paraId="3B5E75FC" w14:textId="5B3C4B6F" w:rsidR="003C6090" w:rsidRPr="003C6090" w:rsidRDefault="00967980" w:rsidP="003C6090">
          <w:pPr>
            <w:pStyle w:val="TOC1"/>
            <w:tabs>
              <w:tab w:val="left" w:pos="709"/>
              <w:tab w:val="right" w:pos="9350"/>
            </w:tabs>
            <w:spacing w:before="0"/>
            <w:ind w:left="851" w:hanging="426"/>
            <w:rPr>
              <w:rFonts w:ascii="Times New Roman" w:eastAsiaTheme="minorEastAsia" w:hAnsi="Times New Roman"/>
              <w:b w:val="0"/>
              <w:bCs w:val="0"/>
              <w:i w:val="0"/>
              <w:iCs w:val="0"/>
              <w:noProof/>
              <w:sz w:val="20"/>
              <w:szCs w:val="20"/>
              <w:lang w:eastAsia="en-GB"/>
            </w:rPr>
          </w:pPr>
          <w:hyperlink w:anchor="_Toc38390885" w:history="1">
            <w:r w:rsidR="003C6090" w:rsidRPr="003C6090">
              <w:rPr>
                <w:rStyle w:val="Hyperlink"/>
                <w:rFonts w:ascii="Times New Roman" w:hAnsi="Times New Roman"/>
                <w:b w:val="0"/>
                <w:bCs w:val="0"/>
                <w:i w:val="0"/>
                <w:iCs w:val="0"/>
                <w:noProof/>
                <w:sz w:val="20"/>
                <w:szCs w:val="20"/>
              </w:rPr>
              <w:t>Post-Pandemic Recovery and Fiscal Resilience Building</w:t>
            </w:r>
            <w:r w:rsidR="003C6090" w:rsidRPr="003C6090">
              <w:rPr>
                <w:rFonts w:ascii="Times New Roman" w:hAnsi="Times New Roman"/>
                <w:b w:val="0"/>
                <w:bCs w:val="0"/>
                <w:i w:val="0"/>
                <w:iCs w:val="0"/>
                <w:noProof/>
                <w:webHidden/>
                <w:sz w:val="20"/>
                <w:szCs w:val="20"/>
              </w:rPr>
              <w:tab/>
            </w:r>
            <w:r w:rsidR="003C6090" w:rsidRPr="003C6090">
              <w:rPr>
                <w:rFonts w:ascii="Times New Roman" w:hAnsi="Times New Roman"/>
                <w:b w:val="0"/>
                <w:bCs w:val="0"/>
                <w:i w:val="0"/>
                <w:iCs w:val="0"/>
                <w:noProof/>
                <w:webHidden/>
                <w:sz w:val="20"/>
                <w:szCs w:val="20"/>
              </w:rPr>
              <w:fldChar w:fldCharType="begin"/>
            </w:r>
            <w:r w:rsidR="003C6090" w:rsidRPr="003C6090">
              <w:rPr>
                <w:rFonts w:ascii="Times New Roman" w:hAnsi="Times New Roman"/>
                <w:b w:val="0"/>
                <w:bCs w:val="0"/>
                <w:i w:val="0"/>
                <w:iCs w:val="0"/>
                <w:noProof/>
                <w:webHidden/>
                <w:sz w:val="20"/>
                <w:szCs w:val="20"/>
              </w:rPr>
              <w:instrText xml:space="preserve"> PAGEREF _Toc38390885 \h </w:instrText>
            </w:r>
            <w:r w:rsidR="003C6090" w:rsidRPr="003C6090">
              <w:rPr>
                <w:rFonts w:ascii="Times New Roman" w:hAnsi="Times New Roman"/>
                <w:b w:val="0"/>
                <w:bCs w:val="0"/>
                <w:i w:val="0"/>
                <w:iCs w:val="0"/>
                <w:noProof/>
                <w:webHidden/>
                <w:sz w:val="20"/>
                <w:szCs w:val="20"/>
              </w:rPr>
            </w:r>
            <w:r w:rsidR="003C6090" w:rsidRPr="003C6090">
              <w:rPr>
                <w:rFonts w:ascii="Times New Roman" w:hAnsi="Times New Roman"/>
                <w:b w:val="0"/>
                <w:bCs w:val="0"/>
                <w:i w:val="0"/>
                <w:iCs w:val="0"/>
                <w:noProof/>
                <w:webHidden/>
                <w:sz w:val="20"/>
                <w:szCs w:val="20"/>
              </w:rPr>
              <w:fldChar w:fldCharType="separate"/>
            </w:r>
            <w:r w:rsidR="00E339EB">
              <w:rPr>
                <w:rFonts w:ascii="Times New Roman" w:hAnsi="Times New Roman"/>
                <w:b w:val="0"/>
                <w:bCs w:val="0"/>
                <w:i w:val="0"/>
                <w:iCs w:val="0"/>
                <w:noProof/>
                <w:webHidden/>
                <w:sz w:val="20"/>
                <w:szCs w:val="20"/>
              </w:rPr>
              <w:t>3</w:t>
            </w:r>
            <w:r w:rsidR="003C6090" w:rsidRPr="003C6090">
              <w:rPr>
                <w:rFonts w:ascii="Times New Roman" w:hAnsi="Times New Roman"/>
                <w:b w:val="0"/>
                <w:bCs w:val="0"/>
                <w:i w:val="0"/>
                <w:iCs w:val="0"/>
                <w:noProof/>
                <w:webHidden/>
                <w:sz w:val="20"/>
                <w:szCs w:val="20"/>
              </w:rPr>
              <w:fldChar w:fldCharType="end"/>
            </w:r>
          </w:hyperlink>
        </w:p>
        <w:p w14:paraId="31E115EC" w14:textId="6F3A93B0" w:rsidR="003C6090" w:rsidRPr="003C6090" w:rsidRDefault="00967980" w:rsidP="003C6090">
          <w:pPr>
            <w:pStyle w:val="TOC1"/>
            <w:tabs>
              <w:tab w:val="left" w:pos="709"/>
              <w:tab w:val="right" w:pos="9350"/>
            </w:tabs>
            <w:spacing w:before="0"/>
            <w:ind w:left="426" w:hanging="426"/>
            <w:rPr>
              <w:rFonts w:ascii="Times New Roman" w:eastAsiaTheme="minorEastAsia" w:hAnsi="Times New Roman"/>
              <w:b w:val="0"/>
              <w:bCs w:val="0"/>
              <w:i w:val="0"/>
              <w:iCs w:val="0"/>
              <w:noProof/>
              <w:sz w:val="20"/>
              <w:szCs w:val="20"/>
              <w:lang w:eastAsia="en-GB"/>
            </w:rPr>
          </w:pPr>
          <w:hyperlink w:anchor="_Toc38390886" w:history="1">
            <w:r w:rsidR="003C6090" w:rsidRPr="003C6090">
              <w:rPr>
                <w:rStyle w:val="Hyperlink"/>
                <w:rFonts w:ascii="Times New Roman" w:hAnsi="Times New Roman"/>
                <w:i w:val="0"/>
                <w:iCs w:val="0"/>
                <w:noProof/>
                <w:sz w:val="20"/>
                <w:szCs w:val="20"/>
                <w:lang w:eastAsia="bs-Latn-BA"/>
              </w:rPr>
              <w:t>3.</w:t>
            </w:r>
            <w:r w:rsidR="003C6090" w:rsidRPr="003C6090">
              <w:rPr>
                <w:rFonts w:ascii="Times New Roman" w:eastAsiaTheme="minorEastAsia" w:hAnsi="Times New Roman"/>
                <w:b w:val="0"/>
                <w:bCs w:val="0"/>
                <w:i w:val="0"/>
                <w:iCs w:val="0"/>
                <w:noProof/>
                <w:sz w:val="20"/>
                <w:szCs w:val="20"/>
                <w:lang w:eastAsia="en-GB"/>
              </w:rPr>
              <w:t xml:space="preserve">     </w:t>
            </w:r>
            <w:r w:rsidR="003C6090" w:rsidRPr="003C6090">
              <w:rPr>
                <w:rStyle w:val="Hyperlink"/>
                <w:rFonts w:ascii="Times New Roman" w:hAnsi="Times New Roman"/>
                <w:i w:val="0"/>
                <w:iCs w:val="0"/>
                <w:noProof/>
                <w:sz w:val="20"/>
                <w:szCs w:val="20"/>
                <w:lang w:eastAsia="bs-Latn-BA"/>
              </w:rPr>
              <w:t>Fiscal Transparency in Times of Emergency</w:t>
            </w:r>
            <w:r w:rsidR="003C6090" w:rsidRPr="003C6090">
              <w:rPr>
                <w:rFonts w:ascii="Times New Roman" w:hAnsi="Times New Roman"/>
                <w:i w:val="0"/>
                <w:iCs w:val="0"/>
                <w:noProof/>
                <w:webHidden/>
                <w:sz w:val="20"/>
                <w:szCs w:val="20"/>
              </w:rPr>
              <w:tab/>
            </w:r>
            <w:r w:rsidR="003C6090" w:rsidRPr="003C6090">
              <w:rPr>
                <w:rFonts w:ascii="Times New Roman" w:hAnsi="Times New Roman"/>
                <w:i w:val="0"/>
                <w:iCs w:val="0"/>
                <w:noProof/>
                <w:webHidden/>
                <w:sz w:val="20"/>
                <w:szCs w:val="20"/>
              </w:rPr>
              <w:fldChar w:fldCharType="begin"/>
            </w:r>
            <w:r w:rsidR="003C6090" w:rsidRPr="003C6090">
              <w:rPr>
                <w:rFonts w:ascii="Times New Roman" w:hAnsi="Times New Roman"/>
                <w:i w:val="0"/>
                <w:iCs w:val="0"/>
                <w:noProof/>
                <w:webHidden/>
                <w:sz w:val="20"/>
                <w:szCs w:val="20"/>
              </w:rPr>
              <w:instrText xml:space="preserve"> PAGEREF _Toc38390886 \h </w:instrText>
            </w:r>
            <w:r w:rsidR="003C6090" w:rsidRPr="003C6090">
              <w:rPr>
                <w:rFonts w:ascii="Times New Roman" w:hAnsi="Times New Roman"/>
                <w:i w:val="0"/>
                <w:iCs w:val="0"/>
                <w:noProof/>
                <w:webHidden/>
                <w:sz w:val="20"/>
                <w:szCs w:val="20"/>
              </w:rPr>
            </w:r>
            <w:r w:rsidR="003C6090" w:rsidRPr="003C6090">
              <w:rPr>
                <w:rFonts w:ascii="Times New Roman" w:hAnsi="Times New Roman"/>
                <w:i w:val="0"/>
                <w:iCs w:val="0"/>
                <w:noProof/>
                <w:webHidden/>
                <w:sz w:val="20"/>
                <w:szCs w:val="20"/>
              </w:rPr>
              <w:fldChar w:fldCharType="separate"/>
            </w:r>
            <w:r w:rsidR="00E339EB">
              <w:rPr>
                <w:rFonts w:ascii="Times New Roman" w:hAnsi="Times New Roman"/>
                <w:i w:val="0"/>
                <w:iCs w:val="0"/>
                <w:noProof/>
                <w:webHidden/>
                <w:sz w:val="20"/>
                <w:szCs w:val="20"/>
              </w:rPr>
              <w:t>3</w:t>
            </w:r>
            <w:r w:rsidR="003C6090" w:rsidRPr="003C6090">
              <w:rPr>
                <w:rFonts w:ascii="Times New Roman" w:hAnsi="Times New Roman"/>
                <w:i w:val="0"/>
                <w:iCs w:val="0"/>
                <w:noProof/>
                <w:webHidden/>
                <w:sz w:val="20"/>
                <w:szCs w:val="20"/>
              </w:rPr>
              <w:fldChar w:fldCharType="end"/>
            </w:r>
          </w:hyperlink>
        </w:p>
        <w:p w14:paraId="2312BC41" w14:textId="0DE2E755" w:rsidR="003C6090" w:rsidRPr="003C6090" w:rsidRDefault="00967980" w:rsidP="003C6090">
          <w:pPr>
            <w:pStyle w:val="TOC1"/>
            <w:tabs>
              <w:tab w:val="left" w:pos="709"/>
              <w:tab w:val="right" w:pos="9350"/>
            </w:tabs>
            <w:spacing w:before="0"/>
            <w:ind w:left="426" w:hanging="426"/>
            <w:rPr>
              <w:rFonts w:ascii="Times New Roman" w:eastAsiaTheme="minorEastAsia" w:hAnsi="Times New Roman"/>
              <w:b w:val="0"/>
              <w:bCs w:val="0"/>
              <w:i w:val="0"/>
              <w:iCs w:val="0"/>
              <w:noProof/>
              <w:sz w:val="20"/>
              <w:szCs w:val="20"/>
              <w:lang w:eastAsia="en-GB"/>
            </w:rPr>
          </w:pPr>
          <w:hyperlink w:anchor="_Toc38390887" w:history="1">
            <w:r w:rsidR="003C6090" w:rsidRPr="003C6090">
              <w:rPr>
                <w:rStyle w:val="Hyperlink"/>
                <w:rFonts w:ascii="Times New Roman" w:hAnsi="Times New Roman"/>
                <w:i w:val="0"/>
                <w:iCs w:val="0"/>
                <w:noProof/>
                <w:sz w:val="20"/>
                <w:szCs w:val="20"/>
                <w:lang w:eastAsia="bs-Latn-BA"/>
              </w:rPr>
              <w:t>4.</w:t>
            </w:r>
            <w:r w:rsidR="003C6090" w:rsidRPr="003C6090">
              <w:rPr>
                <w:rFonts w:ascii="Times New Roman" w:eastAsiaTheme="minorEastAsia" w:hAnsi="Times New Roman"/>
                <w:b w:val="0"/>
                <w:bCs w:val="0"/>
                <w:i w:val="0"/>
                <w:iCs w:val="0"/>
                <w:noProof/>
                <w:sz w:val="20"/>
                <w:szCs w:val="20"/>
                <w:lang w:eastAsia="en-GB"/>
              </w:rPr>
              <w:t xml:space="preserve">     </w:t>
            </w:r>
            <w:r w:rsidR="003C6090" w:rsidRPr="003C6090">
              <w:rPr>
                <w:rStyle w:val="Hyperlink"/>
                <w:rFonts w:ascii="Times New Roman" w:hAnsi="Times New Roman"/>
                <w:i w:val="0"/>
                <w:iCs w:val="0"/>
                <w:noProof/>
                <w:sz w:val="20"/>
                <w:szCs w:val="20"/>
                <w:lang w:eastAsia="bs-Latn-BA"/>
              </w:rPr>
              <w:t>Roundtable Discussion on Budget-Related Response in BCOP Countries</w:t>
            </w:r>
            <w:r w:rsidR="003C6090" w:rsidRPr="003C6090">
              <w:rPr>
                <w:rFonts w:ascii="Times New Roman" w:hAnsi="Times New Roman"/>
                <w:i w:val="0"/>
                <w:iCs w:val="0"/>
                <w:noProof/>
                <w:webHidden/>
                <w:sz w:val="20"/>
                <w:szCs w:val="20"/>
              </w:rPr>
              <w:tab/>
            </w:r>
            <w:r w:rsidR="003C6090" w:rsidRPr="003C6090">
              <w:rPr>
                <w:rFonts w:ascii="Times New Roman" w:hAnsi="Times New Roman"/>
                <w:i w:val="0"/>
                <w:iCs w:val="0"/>
                <w:noProof/>
                <w:webHidden/>
                <w:sz w:val="20"/>
                <w:szCs w:val="20"/>
              </w:rPr>
              <w:fldChar w:fldCharType="begin"/>
            </w:r>
            <w:r w:rsidR="003C6090" w:rsidRPr="003C6090">
              <w:rPr>
                <w:rFonts w:ascii="Times New Roman" w:hAnsi="Times New Roman"/>
                <w:i w:val="0"/>
                <w:iCs w:val="0"/>
                <w:noProof/>
                <w:webHidden/>
                <w:sz w:val="20"/>
                <w:szCs w:val="20"/>
              </w:rPr>
              <w:instrText xml:space="preserve"> PAGEREF _Toc38390887 \h </w:instrText>
            </w:r>
            <w:r w:rsidR="003C6090" w:rsidRPr="003C6090">
              <w:rPr>
                <w:rFonts w:ascii="Times New Roman" w:hAnsi="Times New Roman"/>
                <w:i w:val="0"/>
                <w:iCs w:val="0"/>
                <w:noProof/>
                <w:webHidden/>
                <w:sz w:val="20"/>
                <w:szCs w:val="20"/>
              </w:rPr>
            </w:r>
            <w:r w:rsidR="003C6090" w:rsidRPr="003C6090">
              <w:rPr>
                <w:rFonts w:ascii="Times New Roman" w:hAnsi="Times New Roman"/>
                <w:i w:val="0"/>
                <w:iCs w:val="0"/>
                <w:noProof/>
                <w:webHidden/>
                <w:sz w:val="20"/>
                <w:szCs w:val="20"/>
              </w:rPr>
              <w:fldChar w:fldCharType="separate"/>
            </w:r>
            <w:r w:rsidR="00E339EB">
              <w:rPr>
                <w:rFonts w:ascii="Times New Roman" w:hAnsi="Times New Roman"/>
                <w:i w:val="0"/>
                <w:iCs w:val="0"/>
                <w:noProof/>
                <w:webHidden/>
                <w:sz w:val="20"/>
                <w:szCs w:val="20"/>
              </w:rPr>
              <w:t>4</w:t>
            </w:r>
            <w:r w:rsidR="003C6090" w:rsidRPr="003C6090">
              <w:rPr>
                <w:rFonts w:ascii="Times New Roman" w:hAnsi="Times New Roman"/>
                <w:i w:val="0"/>
                <w:iCs w:val="0"/>
                <w:noProof/>
                <w:webHidden/>
                <w:sz w:val="20"/>
                <w:szCs w:val="20"/>
              </w:rPr>
              <w:fldChar w:fldCharType="end"/>
            </w:r>
          </w:hyperlink>
        </w:p>
        <w:p w14:paraId="20CCC1F6" w14:textId="0084CE65" w:rsidR="003C6090" w:rsidRPr="003C6090" w:rsidRDefault="00967980" w:rsidP="003C6090">
          <w:pPr>
            <w:pStyle w:val="TOC1"/>
            <w:tabs>
              <w:tab w:val="left" w:pos="709"/>
              <w:tab w:val="right" w:pos="9350"/>
            </w:tabs>
            <w:spacing w:before="0"/>
            <w:ind w:left="851" w:hanging="426"/>
            <w:rPr>
              <w:rFonts w:ascii="Times New Roman" w:eastAsiaTheme="minorEastAsia" w:hAnsi="Times New Roman"/>
              <w:b w:val="0"/>
              <w:bCs w:val="0"/>
              <w:i w:val="0"/>
              <w:iCs w:val="0"/>
              <w:noProof/>
              <w:sz w:val="20"/>
              <w:szCs w:val="20"/>
              <w:lang w:eastAsia="en-GB"/>
            </w:rPr>
          </w:pPr>
          <w:hyperlink w:anchor="_Toc38390888" w:history="1">
            <w:r w:rsidR="003C6090" w:rsidRPr="003C6090">
              <w:rPr>
                <w:rStyle w:val="Hyperlink"/>
                <w:rFonts w:ascii="Times New Roman" w:hAnsi="Times New Roman"/>
                <w:b w:val="0"/>
                <w:bCs w:val="0"/>
                <w:i w:val="0"/>
                <w:iCs w:val="0"/>
                <w:noProof/>
                <w:sz w:val="20"/>
                <w:szCs w:val="20"/>
              </w:rPr>
              <w:t>Key Budgeting Challenges and Measures Introduced and Planned in BCOP Countries</w:t>
            </w:r>
            <w:r w:rsidR="003C6090" w:rsidRPr="003C6090">
              <w:rPr>
                <w:rFonts w:ascii="Times New Roman" w:hAnsi="Times New Roman"/>
                <w:b w:val="0"/>
                <w:bCs w:val="0"/>
                <w:i w:val="0"/>
                <w:iCs w:val="0"/>
                <w:noProof/>
                <w:webHidden/>
                <w:sz w:val="20"/>
                <w:szCs w:val="20"/>
              </w:rPr>
              <w:tab/>
            </w:r>
            <w:r w:rsidR="003C6090" w:rsidRPr="003C6090">
              <w:rPr>
                <w:rFonts w:ascii="Times New Roman" w:hAnsi="Times New Roman"/>
                <w:b w:val="0"/>
                <w:bCs w:val="0"/>
                <w:i w:val="0"/>
                <w:iCs w:val="0"/>
                <w:noProof/>
                <w:webHidden/>
                <w:sz w:val="20"/>
                <w:szCs w:val="20"/>
              </w:rPr>
              <w:fldChar w:fldCharType="begin"/>
            </w:r>
            <w:r w:rsidR="003C6090" w:rsidRPr="003C6090">
              <w:rPr>
                <w:rFonts w:ascii="Times New Roman" w:hAnsi="Times New Roman"/>
                <w:b w:val="0"/>
                <w:bCs w:val="0"/>
                <w:i w:val="0"/>
                <w:iCs w:val="0"/>
                <w:noProof/>
                <w:webHidden/>
                <w:sz w:val="20"/>
                <w:szCs w:val="20"/>
              </w:rPr>
              <w:instrText xml:space="preserve"> PAGEREF _Toc38390888 \h </w:instrText>
            </w:r>
            <w:r w:rsidR="003C6090" w:rsidRPr="003C6090">
              <w:rPr>
                <w:rFonts w:ascii="Times New Roman" w:hAnsi="Times New Roman"/>
                <w:b w:val="0"/>
                <w:bCs w:val="0"/>
                <w:i w:val="0"/>
                <w:iCs w:val="0"/>
                <w:noProof/>
                <w:webHidden/>
                <w:sz w:val="20"/>
                <w:szCs w:val="20"/>
              </w:rPr>
            </w:r>
            <w:r w:rsidR="003C6090" w:rsidRPr="003C6090">
              <w:rPr>
                <w:rFonts w:ascii="Times New Roman" w:hAnsi="Times New Roman"/>
                <w:b w:val="0"/>
                <w:bCs w:val="0"/>
                <w:i w:val="0"/>
                <w:iCs w:val="0"/>
                <w:noProof/>
                <w:webHidden/>
                <w:sz w:val="20"/>
                <w:szCs w:val="20"/>
              </w:rPr>
              <w:fldChar w:fldCharType="separate"/>
            </w:r>
            <w:r w:rsidR="00E339EB">
              <w:rPr>
                <w:rFonts w:ascii="Times New Roman" w:hAnsi="Times New Roman"/>
                <w:b w:val="0"/>
                <w:bCs w:val="0"/>
                <w:i w:val="0"/>
                <w:iCs w:val="0"/>
                <w:noProof/>
                <w:webHidden/>
                <w:sz w:val="20"/>
                <w:szCs w:val="20"/>
              </w:rPr>
              <w:t>4</w:t>
            </w:r>
            <w:r w:rsidR="003C6090" w:rsidRPr="003C6090">
              <w:rPr>
                <w:rFonts w:ascii="Times New Roman" w:hAnsi="Times New Roman"/>
                <w:b w:val="0"/>
                <w:bCs w:val="0"/>
                <w:i w:val="0"/>
                <w:iCs w:val="0"/>
                <w:noProof/>
                <w:webHidden/>
                <w:sz w:val="20"/>
                <w:szCs w:val="20"/>
              </w:rPr>
              <w:fldChar w:fldCharType="end"/>
            </w:r>
          </w:hyperlink>
        </w:p>
        <w:p w14:paraId="6A39C49E" w14:textId="3DD3CDD6" w:rsidR="003C6090" w:rsidRPr="003C6090" w:rsidRDefault="00967980" w:rsidP="003C6090">
          <w:pPr>
            <w:pStyle w:val="TOC3"/>
            <w:tabs>
              <w:tab w:val="left" w:pos="709"/>
              <w:tab w:val="right" w:pos="9350"/>
            </w:tabs>
            <w:ind w:left="851" w:hanging="426"/>
            <w:rPr>
              <w:rFonts w:ascii="Times New Roman" w:eastAsiaTheme="minorEastAsia" w:hAnsi="Times New Roman"/>
              <w:noProof/>
              <w:lang w:eastAsia="en-GB"/>
            </w:rPr>
          </w:pPr>
          <w:hyperlink w:anchor="_Toc38390889" w:history="1">
            <w:r w:rsidR="003C6090" w:rsidRPr="003C6090">
              <w:rPr>
                <w:rStyle w:val="Hyperlink"/>
                <w:rFonts w:ascii="Times New Roman" w:hAnsi="Times New Roman"/>
                <w:noProof/>
              </w:rPr>
              <w:t>Measures to Reorganize Business Processes in the Ministries of Finance in BCOP Countries</w:t>
            </w:r>
            <w:r w:rsidR="003C6090" w:rsidRPr="003C6090">
              <w:rPr>
                <w:rFonts w:ascii="Times New Roman" w:hAnsi="Times New Roman"/>
                <w:noProof/>
                <w:webHidden/>
              </w:rPr>
              <w:tab/>
            </w:r>
            <w:r w:rsidR="003C6090" w:rsidRPr="003C6090">
              <w:rPr>
                <w:rFonts w:ascii="Times New Roman" w:hAnsi="Times New Roman"/>
                <w:noProof/>
                <w:webHidden/>
              </w:rPr>
              <w:fldChar w:fldCharType="begin"/>
            </w:r>
            <w:r w:rsidR="003C6090" w:rsidRPr="003C6090">
              <w:rPr>
                <w:rFonts w:ascii="Times New Roman" w:hAnsi="Times New Roman"/>
                <w:noProof/>
                <w:webHidden/>
              </w:rPr>
              <w:instrText xml:space="preserve"> PAGEREF _Toc38390889 \h </w:instrText>
            </w:r>
            <w:r w:rsidR="003C6090" w:rsidRPr="003C6090">
              <w:rPr>
                <w:rFonts w:ascii="Times New Roman" w:hAnsi="Times New Roman"/>
                <w:noProof/>
                <w:webHidden/>
              </w:rPr>
            </w:r>
            <w:r w:rsidR="003C6090" w:rsidRPr="003C6090">
              <w:rPr>
                <w:rFonts w:ascii="Times New Roman" w:hAnsi="Times New Roman"/>
                <w:noProof/>
                <w:webHidden/>
              </w:rPr>
              <w:fldChar w:fldCharType="separate"/>
            </w:r>
            <w:r w:rsidR="00E339EB">
              <w:rPr>
                <w:rFonts w:ascii="Times New Roman" w:hAnsi="Times New Roman"/>
                <w:noProof/>
                <w:webHidden/>
              </w:rPr>
              <w:t>6</w:t>
            </w:r>
            <w:r w:rsidR="003C6090" w:rsidRPr="003C6090">
              <w:rPr>
                <w:rFonts w:ascii="Times New Roman" w:hAnsi="Times New Roman"/>
                <w:noProof/>
                <w:webHidden/>
              </w:rPr>
              <w:fldChar w:fldCharType="end"/>
            </w:r>
          </w:hyperlink>
        </w:p>
        <w:p w14:paraId="4538E1D3" w14:textId="00C0A100" w:rsidR="003C6090" w:rsidRPr="003C6090" w:rsidRDefault="00967980" w:rsidP="003C6090">
          <w:pPr>
            <w:pStyle w:val="TOC3"/>
            <w:tabs>
              <w:tab w:val="left" w:pos="709"/>
              <w:tab w:val="right" w:pos="9350"/>
            </w:tabs>
            <w:ind w:left="851" w:hanging="426"/>
            <w:rPr>
              <w:rFonts w:ascii="Times New Roman" w:eastAsiaTheme="minorEastAsia" w:hAnsi="Times New Roman"/>
              <w:noProof/>
              <w:lang w:eastAsia="en-GB"/>
            </w:rPr>
          </w:pPr>
          <w:hyperlink w:anchor="_Toc38390890" w:history="1">
            <w:r w:rsidR="003C6090" w:rsidRPr="003C6090">
              <w:rPr>
                <w:rStyle w:val="Hyperlink"/>
                <w:rFonts w:ascii="Times New Roman" w:hAnsi="Times New Roman"/>
                <w:noProof/>
              </w:rPr>
              <w:t>Key Risks and Opportunities</w:t>
            </w:r>
            <w:r w:rsidR="003C6090" w:rsidRPr="003C6090">
              <w:rPr>
                <w:rFonts w:ascii="Times New Roman" w:hAnsi="Times New Roman"/>
                <w:noProof/>
                <w:webHidden/>
              </w:rPr>
              <w:tab/>
            </w:r>
            <w:r w:rsidR="003C6090" w:rsidRPr="003C6090">
              <w:rPr>
                <w:rFonts w:ascii="Times New Roman" w:hAnsi="Times New Roman"/>
                <w:noProof/>
                <w:webHidden/>
              </w:rPr>
              <w:fldChar w:fldCharType="begin"/>
            </w:r>
            <w:r w:rsidR="003C6090" w:rsidRPr="003C6090">
              <w:rPr>
                <w:rFonts w:ascii="Times New Roman" w:hAnsi="Times New Roman"/>
                <w:noProof/>
                <w:webHidden/>
              </w:rPr>
              <w:instrText xml:space="preserve"> PAGEREF _Toc38390890 \h </w:instrText>
            </w:r>
            <w:r w:rsidR="003C6090" w:rsidRPr="003C6090">
              <w:rPr>
                <w:rFonts w:ascii="Times New Roman" w:hAnsi="Times New Roman"/>
                <w:noProof/>
                <w:webHidden/>
              </w:rPr>
            </w:r>
            <w:r w:rsidR="003C6090" w:rsidRPr="003C6090">
              <w:rPr>
                <w:rFonts w:ascii="Times New Roman" w:hAnsi="Times New Roman"/>
                <w:noProof/>
                <w:webHidden/>
              </w:rPr>
              <w:fldChar w:fldCharType="separate"/>
            </w:r>
            <w:r w:rsidR="00E339EB">
              <w:rPr>
                <w:rFonts w:ascii="Times New Roman" w:hAnsi="Times New Roman"/>
                <w:noProof/>
                <w:webHidden/>
              </w:rPr>
              <w:t>6</w:t>
            </w:r>
            <w:r w:rsidR="003C6090" w:rsidRPr="003C6090">
              <w:rPr>
                <w:rFonts w:ascii="Times New Roman" w:hAnsi="Times New Roman"/>
                <w:noProof/>
                <w:webHidden/>
              </w:rPr>
              <w:fldChar w:fldCharType="end"/>
            </w:r>
          </w:hyperlink>
        </w:p>
        <w:p w14:paraId="323C423B" w14:textId="3EDC9052" w:rsidR="003C6090" w:rsidRPr="003C6090" w:rsidRDefault="00967980" w:rsidP="003C6090">
          <w:pPr>
            <w:pStyle w:val="TOC1"/>
            <w:tabs>
              <w:tab w:val="left" w:pos="709"/>
              <w:tab w:val="right" w:pos="9350"/>
            </w:tabs>
            <w:spacing w:before="0"/>
            <w:ind w:left="426" w:hanging="426"/>
            <w:rPr>
              <w:rFonts w:ascii="Times New Roman" w:eastAsiaTheme="minorEastAsia" w:hAnsi="Times New Roman"/>
              <w:b w:val="0"/>
              <w:bCs w:val="0"/>
              <w:i w:val="0"/>
              <w:iCs w:val="0"/>
              <w:noProof/>
              <w:sz w:val="20"/>
              <w:szCs w:val="20"/>
              <w:lang w:eastAsia="en-GB"/>
            </w:rPr>
          </w:pPr>
          <w:hyperlink w:anchor="_Toc38390891" w:history="1">
            <w:r w:rsidR="003C6090" w:rsidRPr="003C6090">
              <w:rPr>
                <w:rStyle w:val="Hyperlink"/>
                <w:rFonts w:ascii="Times New Roman" w:hAnsi="Times New Roman"/>
                <w:i w:val="0"/>
                <w:iCs w:val="0"/>
                <w:noProof/>
                <w:sz w:val="20"/>
                <w:szCs w:val="20"/>
                <w:lang w:eastAsia="bs-Latn-BA"/>
              </w:rPr>
              <w:t>5.</w:t>
            </w:r>
            <w:r w:rsidR="003C6090" w:rsidRPr="003C6090">
              <w:rPr>
                <w:rFonts w:ascii="Times New Roman" w:eastAsiaTheme="minorEastAsia" w:hAnsi="Times New Roman"/>
                <w:b w:val="0"/>
                <w:bCs w:val="0"/>
                <w:i w:val="0"/>
                <w:iCs w:val="0"/>
                <w:noProof/>
                <w:sz w:val="20"/>
                <w:szCs w:val="20"/>
                <w:lang w:eastAsia="en-GB"/>
              </w:rPr>
              <w:tab/>
            </w:r>
            <w:r w:rsidR="003C6090" w:rsidRPr="003C6090">
              <w:rPr>
                <w:rStyle w:val="Hyperlink"/>
                <w:rFonts w:ascii="Times New Roman" w:hAnsi="Times New Roman"/>
                <w:i w:val="0"/>
                <w:iCs w:val="0"/>
                <w:noProof/>
                <w:sz w:val="20"/>
                <w:szCs w:val="20"/>
                <w:lang w:eastAsia="bs-Latn-BA"/>
              </w:rPr>
              <w:t>Online Resources of International Organizations Relevant for PFM Response to Covid-19 Emergency</w:t>
            </w:r>
            <w:r w:rsidR="003C6090" w:rsidRPr="003C6090">
              <w:rPr>
                <w:rFonts w:ascii="Times New Roman" w:hAnsi="Times New Roman"/>
                <w:i w:val="0"/>
                <w:iCs w:val="0"/>
                <w:noProof/>
                <w:webHidden/>
                <w:sz w:val="20"/>
                <w:szCs w:val="20"/>
              </w:rPr>
              <w:tab/>
            </w:r>
            <w:r w:rsidR="003C6090" w:rsidRPr="003C6090">
              <w:rPr>
                <w:rFonts w:ascii="Times New Roman" w:hAnsi="Times New Roman"/>
                <w:i w:val="0"/>
                <w:iCs w:val="0"/>
                <w:noProof/>
                <w:webHidden/>
                <w:sz w:val="20"/>
                <w:szCs w:val="20"/>
              </w:rPr>
              <w:fldChar w:fldCharType="begin"/>
            </w:r>
            <w:r w:rsidR="003C6090" w:rsidRPr="003C6090">
              <w:rPr>
                <w:rFonts w:ascii="Times New Roman" w:hAnsi="Times New Roman"/>
                <w:i w:val="0"/>
                <w:iCs w:val="0"/>
                <w:noProof/>
                <w:webHidden/>
                <w:sz w:val="20"/>
                <w:szCs w:val="20"/>
              </w:rPr>
              <w:instrText xml:space="preserve"> PAGEREF _Toc38390891 \h </w:instrText>
            </w:r>
            <w:r w:rsidR="003C6090" w:rsidRPr="003C6090">
              <w:rPr>
                <w:rFonts w:ascii="Times New Roman" w:hAnsi="Times New Roman"/>
                <w:i w:val="0"/>
                <w:iCs w:val="0"/>
                <w:noProof/>
                <w:webHidden/>
                <w:sz w:val="20"/>
                <w:szCs w:val="20"/>
              </w:rPr>
            </w:r>
            <w:r w:rsidR="003C6090" w:rsidRPr="003C6090">
              <w:rPr>
                <w:rFonts w:ascii="Times New Roman" w:hAnsi="Times New Roman"/>
                <w:i w:val="0"/>
                <w:iCs w:val="0"/>
                <w:noProof/>
                <w:webHidden/>
                <w:sz w:val="20"/>
                <w:szCs w:val="20"/>
              </w:rPr>
              <w:fldChar w:fldCharType="separate"/>
            </w:r>
            <w:r w:rsidR="00E339EB">
              <w:rPr>
                <w:rFonts w:ascii="Times New Roman" w:hAnsi="Times New Roman"/>
                <w:i w:val="0"/>
                <w:iCs w:val="0"/>
                <w:noProof/>
                <w:webHidden/>
                <w:sz w:val="20"/>
                <w:szCs w:val="20"/>
              </w:rPr>
              <w:t>7</w:t>
            </w:r>
            <w:r w:rsidR="003C6090" w:rsidRPr="003C6090">
              <w:rPr>
                <w:rFonts w:ascii="Times New Roman" w:hAnsi="Times New Roman"/>
                <w:i w:val="0"/>
                <w:iCs w:val="0"/>
                <w:noProof/>
                <w:webHidden/>
                <w:sz w:val="20"/>
                <w:szCs w:val="20"/>
              </w:rPr>
              <w:fldChar w:fldCharType="end"/>
            </w:r>
          </w:hyperlink>
        </w:p>
        <w:p w14:paraId="7BE1289A" w14:textId="2D09D2A9" w:rsidR="00116189" w:rsidRPr="003C6090" w:rsidRDefault="005F726F" w:rsidP="003C6090">
          <w:pPr>
            <w:pStyle w:val="TOC1"/>
            <w:tabs>
              <w:tab w:val="left" w:pos="180"/>
              <w:tab w:val="left" w:pos="426"/>
              <w:tab w:val="left" w:pos="540"/>
              <w:tab w:val="right" w:leader="dot" w:pos="9782"/>
            </w:tabs>
            <w:spacing w:before="0"/>
            <w:ind w:left="426" w:hanging="709"/>
            <w:rPr>
              <w:rFonts w:ascii="Times New Roman" w:hAnsi="Times New Roman"/>
              <w:b w:val="0"/>
              <w:bCs w:val="0"/>
              <w:sz w:val="2"/>
              <w:szCs w:val="2"/>
            </w:rPr>
          </w:pPr>
          <w:r w:rsidRPr="003C6090">
            <w:rPr>
              <w:rFonts w:ascii="Times New Roman" w:hAnsi="Times New Roman"/>
              <w:sz w:val="20"/>
              <w:szCs w:val="20"/>
            </w:rPr>
            <w:fldChar w:fldCharType="end"/>
          </w:r>
        </w:p>
      </w:sdtContent>
    </w:sdt>
    <w:bookmarkStart w:id="1" w:name="_Toc24712159" w:displacedByCustomXml="prev"/>
    <w:p w14:paraId="166F4729" w14:textId="77777777" w:rsidR="00116189" w:rsidRPr="003C6090" w:rsidRDefault="00116189" w:rsidP="00A21EC2">
      <w:pPr>
        <w:rPr>
          <w:i/>
          <w:iCs/>
          <w:lang w:eastAsia="bs-Latn-BA"/>
        </w:rPr>
      </w:pPr>
    </w:p>
    <w:p w14:paraId="14A5A697" w14:textId="43D00726" w:rsidR="005A1144" w:rsidRPr="002659A3" w:rsidRDefault="007743D7" w:rsidP="00EF53AE">
      <w:pPr>
        <w:pStyle w:val="Heading1"/>
        <w:numPr>
          <w:ilvl w:val="0"/>
          <w:numId w:val="1"/>
        </w:numPr>
        <w:spacing w:before="0" w:afterLines="80" w:after="192" w:line="240" w:lineRule="auto"/>
        <w:ind w:left="540" w:hanging="450"/>
        <w:rPr>
          <w:rFonts w:ascii="Times New Roman" w:eastAsia="Times New Roman" w:hAnsi="Times New Roman" w:cs="Times New Roman"/>
          <w:b/>
          <w:sz w:val="22"/>
          <w:szCs w:val="22"/>
          <w:lang w:eastAsia="bs-Latn-BA"/>
        </w:rPr>
      </w:pPr>
      <w:bookmarkStart w:id="2" w:name="_Toc38390881"/>
      <w:r w:rsidRPr="002659A3">
        <w:rPr>
          <w:rFonts w:ascii="Times New Roman" w:eastAsia="Times New Roman" w:hAnsi="Times New Roman" w:cs="Times New Roman"/>
          <w:b/>
          <w:sz w:val="22"/>
          <w:szCs w:val="22"/>
          <w:lang w:eastAsia="bs-Latn-BA"/>
        </w:rPr>
        <w:t>Background</w:t>
      </w:r>
      <w:bookmarkEnd w:id="1"/>
      <w:r w:rsidR="00C33DDD">
        <w:rPr>
          <w:rFonts w:ascii="Times New Roman" w:eastAsia="Times New Roman" w:hAnsi="Times New Roman" w:cs="Times New Roman"/>
          <w:b/>
          <w:sz w:val="22"/>
          <w:szCs w:val="22"/>
          <w:lang w:eastAsia="bs-Latn-BA"/>
        </w:rPr>
        <w:t xml:space="preserve"> and Event Objective</w:t>
      </w:r>
      <w:bookmarkEnd w:id="2"/>
    </w:p>
    <w:p w14:paraId="0591D064" w14:textId="45339642" w:rsidR="003F1718" w:rsidRPr="005D0FFE" w:rsidRDefault="007743D7" w:rsidP="005D0FFE">
      <w:pPr>
        <w:spacing w:afterLines="80" w:after="192"/>
        <w:jc w:val="both"/>
        <w:rPr>
          <w:bCs/>
        </w:rPr>
      </w:pPr>
      <w:r w:rsidRPr="002659A3">
        <w:rPr>
          <w:b/>
          <w:sz w:val="22"/>
          <w:szCs w:val="22"/>
        </w:rPr>
        <w:t xml:space="preserve">This event report </w:t>
      </w:r>
      <w:r w:rsidR="008C28B4" w:rsidRPr="002659A3">
        <w:rPr>
          <w:b/>
          <w:sz w:val="22"/>
          <w:szCs w:val="22"/>
        </w:rPr>
        <w:t xml:space="preserve">provides </w:t>
      </w:r>
      <w:r w:rsidR="00C152C7">
        <w:rPr>
          <w:b/>
          <w:sz w:val="22"/>
          <w:szCs w:val="22"/>
        </w:rPr>
        <w:t xml:space="preserve">a </w:t>
      </w:r>
      <w:r w:rsidR="008C28B4" w:rsidRPr="002659A3">
        <w:rPr>
          <w:b/>
          <w:sz w:val="22"/>
          <w:szCs w:val="22"/>
        </w:rPr>
        <w:t xml:space="preserve">summary of </w:t>
      </w:r>
      <w:r w:rsidRPr="002659A3">
        <w:rPr>
          <w:b/>
          <w:sz w:val="22"/>
          <w:szCs w:val="22"/>
        </w:rPr>
        <w:t xml:space="preserve">the </w:t>
      </w:r>
      <w:r w:rsidR="008C28B4" w:rsidRPr="002659A3">
        <w:rPr>
          <w:b/>
          <w:sz w:val="22"/>
          <w:szCs w:val="22"/>
        </w:rPr>
        <w:t>presentations and discussions</w:t>
      </w:r>
      <w:r w:rsidR="00E84A3A" w:rsidRPr="002659A3">
        <w:rPr>
          <w:b/>
          <w:sz w:val="22"/>
          <w:szCs w:val="22"/>
        </w:rPr>
        <w:t xml:space="preserve"> delivered during</w:t>
      </w:r>
      <w:r w:rsidR="008C28B4" w:rsidRPr="002659A3">
        <w:rPr>
          <w:b/>
          <w:sz w:val="22"/>
          <w:szCs w:val="22"/>
        </w:rPr>
        <w:t xml:space="preserve"> the </w:t>
      </w:r>
      <w:r w:rsidR="00496B22">
        <w:rPr>
          <w:b/>
          <w:sz w:val="22"/>
          <w:szCs w:val="22"/>
        </w:rPr>
        <w:t xml:space="preserve">BCOP Workshop on Budget-Related Response to Covid-19 Emergency </w:t>
      </w:r>
      <w:r w:rsidR="00940328" w:rsidRPr="00806977">
        <w:rPr>
          <w:b/>
          <w:sz w:val="22"/>
          <w:szCs w:val="22"/>
        </w:rPr>
        <w:t xml:space="preserve">held on </w:t>
      </w:r>
      <w:r w:rsidR="00496B22" w:rsidRPr="00806977">
        <w:rPr>
          <w:b/>
          <w:sz w:val="22"/>
          <w:szCs w:val="22"/>
        </w:rPr>
        <w:t>April 9, 2020</w:t>
      </w:r>
      <w:r w:rsidR="002457E7" w:rsidRPr="002659A3">
        <w:rPr>
          <w:sz w:val="22"/>
          <w:szCs w:val="22"/>
        </w:rPr>
        <w:t xml:space="preserve">, </w:t>
      </w:r>
      <w:r w:rsidR="00496B22">
        <w:rPr>
          <w:sz w:val="22"/>
          <w:szCs w:val="22"/>
        </w:rPr>
        <w:t>via videoconference</w:t>
      </w:r>
      <w:r w:rsidR="002457E7" w:rsidRPr="002659A3">
        <w:rPr>
          <w:sz w:val="22"/>
          <w:szCs w:val="22"/>
        </w:rPr>
        <w:t xml:space="preserve">. </w:t>
      </w:r>
      <w:r w:rsidR="009A3E49" w:rsidRPr="002659A3">
        <w:rPr>
          <w:sz w:val="22"/>
          <w:szCs w:val="22"/>
        </w:rPr>
        <w:t xml:space="preserve">This workshop was organized based on </w:t>
      </w:r>
      <w:r w:rsidR="003F1718">
        <w:rPr>
          <w:sz w:val="22"/>
          <w:szCs w:val="22"/>
        </w:rPr>
        <w:t>the decision taken by the BCOP Executive Committee and the Resource Team</w:t>
      </w:r>
      <w:r w:rsidR="00806977">
        <w:rPr>
          <w:sz w:val="22"/>
          <w:szCs w:val="22"/>
        </w:rPr>
        <w:t>.</w:t>
      </w:r>
    </w:p>
    <w:p w14:paraId="143B23BF" w14:textId="6C4D67E3" w:rsidR="007B3D91" w:rsidRDefault="00806977" w:rsidP="005D0FFE">
      <w:pPr>
        <w:spacing w:afterLines="80" w:after="192"/>
        <w:jc w:val="both"/>
        <w:rPr>
          <w:sz w:val="22"/>
          <w:szCs w:val="22"/>
        </w:rPr>
      </w:pPr>
      <w:r w:rsidRPr="005D0FFE">
        <w:rPr>
          <w:b/>
          <w:bCs/>
          <w:sz w:val="22"/>
          <w:szCs w:val="22"/>
        </w:rPr>
        <w:t>The objective of the event was to examine and exchange experiences on the approaches, challenges, and advice on budget-related responses to the C</w:t>
      </w:r>
      <w:r>
        <w:rPr>
          <w:b/>
          <w:bCs/>
          <w:sz w:val="22"/>
          <w:szCs w:val="22"/>
        </w:rPr>
        <w:t>ovid</w:t>
      </w:r>
      <w:r w:rsidRPr="005D0FFE">
        <w:rPr>
          <w:b/>
          <w:bCs/>
          <w:sz w:val="22"/>
          <w:szCs w:val="22"/>
        </w:rPr>
        <w:t xml:space="preserve">-19 emergency among BCOP member countries and </w:t>
      </w:r>
      <w:r>
        <w:rPr>
          <w:b/>
          <w:bCs/>
          <w:sz w:val="22"/>
          <w:szCs w:val="22"/>
        </w:rPr>
        <w:t>to share</w:t>
      </w:r>
      <w:r w:rsidRPr="005D0FFE">
        <w:rPr>
          <w:b/>
          <w:bCs/>
          <w:sz w:val="22"/>
          <w:szCs w:val="22"/>
        </w:rPr>
        <w:t xml:space="preserve"> international organizations’ advice</w:t>
      </w:r>
      <w:r>
        <w:rPr>
          <w:b/>
          <w:bCs/>
          <w:sz w:val="22"/>
          <w:szCs w:val="22"/>
        </w:rPr>
        <w:t xml:space="preserve">. </w:t>
      </w:r>
      <w:r w:rsidR="00D64DBE" w:rsidRPr="00806977">
        <w:rPr>
          <w:bCs/>
          <w:sz w:val="22"/>
          <w:szCs w:val="22"/>
        </w:rPr>
        <w:t xml:space="preserve">The meeting gathered BCOP representatives </w:t>
      </w:r>
      <w:r w:rsidR="00E84A3A" w:rsidRPr="00806977">
        <w:rPr>
          <w:bCs/>
          <w:sz w:val="22"/>
          <w:szCs w:val="22"/>
        </w:rPr>
        <w:t xml:space="preserve">of </w:t>
      </w:r>
      <w:r w:rsidR="00D64DBE" w:rsidRPr="00806977">
        <w:rPr>
          <w:bCs/>
          <w:sz w:val="22"/>
          <w:szCs w:val="22"/>
        </w:rPr>
        <w:t>Ministries of Finance (MOFs) from</w:t>
      </w:r>
      <w:r w:rsidR="003F1718" w:rsidRPr="00806977">
        <w:rPr>
          <w:bCs/>
          <w:sz w:val="22"/>
          <w:szCs w:val="22"/>
        </w:rPr>
        <w:t xml:space="preserve"> 7</w:t>
      </w:r>
      <w:r w:rsidR="00D64DBE" w:rsidRPr="00806977">
        <w:rPr>
          <w:bCs/>
          <w:sz w:val="22"/>
          <w:szCs w:val="22"/>
        </w:rPr>
        <w:t xml:space="preserve"> BCOP member</w:t>
      </w:r>
      <w:r w:rsidR="00E84A3A" w:rsidRPr="00806977">
        <w:rPr>
          <w:bCs/>
          <w:sz w:val="22"/>
          <w:szCs w:val="22"/>
        </w:rPr>
        <w:t xml:space="preserve"> countries </w:t>
      </w:r>
      <w:r w:rsidR="004C50B7" w:rsidRPr="00806977">
        <w:rPr>
          <w:bCs/>
          <w:sz w:val="22"/>
          <w:szCs w:val="22"/>
        </w:rPr>
        <w:t xml:space="preserve">in </w:t>
      </w:r>
      <w:r w:rsidR="00D64DBE" w:rsidRPr="00806977">
        <w:rPr>
          <w:bCs/>
          <w:sz w:val="22"/>
          <w:szCs w:val="22"/>
        </w:rPr>
        <w:t>the Europe and Central Asia (ECA) region:</w:t>
      </w:r>
      <w:r w:rsidR="003F1718" w:rsidRPr="00806977">
        <w:rPr>
          <w:bCs/>
          <w:sz w:val="22"/>
          <w:szCs w:val="22"/>
        </w:rPr>
        <w:t xml:space="preserve"> </w:t>
      </w:r>
      <w:r w:rsidR="00D64DBE" w:rsidRPr="00806977">
        <w:rPr>
          <w:bCs/>
          <w:sz w:val="22"/>
          <w:szCs w:val="22"/>
        </w:rPr>
        <w:t xml:space="preserve">Belarus, Bulgaria, Croatia, </w:t>
      </w:r>
      <w:r w:rsidR="005D0FFE" w:rsidRPr="00806977">
        <w:rPr>
          <w:bCs/>
          <w:sz w:val="22"/>
          <w:szCs w:val="22"/>
        </w:rPr>
        <w:t xml:space="preserve">Georgia, </w:t>
      </w:r>
      <w:r w:rsidR="00D64DBE" w:rsidRPr="00806977">
        <w:rPr>
          <w:bCs/>
          <w:sz w:val="22"/>
          <w:szCs w:val="22"/>
        </w:rPr>
        <w:t xml:space="preserve">Kyrgyz Republic, Russian Federation, and Uzbekistan. </w:t>
      </w:r>
      <w:r w:rsidR="005D0FFE" w:rsidRPr="00806977">
        <w:rPr>
          <w:bCs/>
          <w:sz w:val="22"/>
          <w:szCs w:val="22"/>
        </w:rPr>
        <w:t xml:space="preserve">Representatives from </w:t>
      </w:r>
      <w:r w:rsidR="0037506E">
        <w:rPr>
          <w:bCs/>
          <w:sz w:val="22"/>
          <w:szCs w:val="22"/>
        </w:rPr>
        <w:t xml:space="preserve">other </w:t>
      </w:r>
      <w:r w:rsidR="005D0FFE" w:rsidRPr="00806977">
        <w:rPr>
          <w:bCs/>
          <w:sz w:val="22"/>
          <w:szCs w:val="22"/>
        </w:rPr>
        <w:t>five BCOP countries registered for the event but had to cancel their</w:t>
      </w:r>
      <w:r w:rsidR="005D0FFE">
        <w:rPr>
          <w:sz w:val="22"/>
          <w:szCs w:val="22"/>
        </w:rPr>
        <w:t xml:space="preserve"> participation </w:t>
      </w:r>
      <w:r w:rsidR="000D40F4">
        <w:rPr>
          <w:sz w:val="22"/>
          <w:szCs w:val="22"/>
        </w:rPr>
        <w:t xml:space="preserve">due to </w:t>
      </w:r>
      <w:r w:rsidR="005D0FFE">
        <w:rPr>
          <w:sz w:val="22"/>
          <w:szCs w:val="22"/>
        </w:rPr>
        <w:t xml:space="preserve">urgent obligations in their Ministries. </w:t>
      </w:r>
      <w:r>
        <w:rPr>
          <w:rStyle w:val="FootnoteReference"/>
          <w:sz w:val="22"/>
          <w:szCs w:val="22"/>
        </w:rPr>
        <w:footnoteReference w:id="1"/>
      </w:r>
    </w:p>
    <w:p w14:paraId="706B3E3A" w14:textId="10E884A9" w:rsidR="00C33DDD" w:rsidRDefault="00C33DDD" w:rsidP="00A35244">
      <w:pPr>
        <w:pStyle w:val="Heading1"/>
        <w:numPr>
          <w:ilvl w:val="0"/>
          <w:numId w:val="1"/>
        </w:numPr>
        <w:spacing w:before="0" w:afterLines="80" w:after="192" w:line="240" w:lineRule="auto"/>
        <w:ind w:left="540" w:hanging="450"/>
        <w:rPr>
          <w:rFonts w:ascii="Times New Roman" w:eastAsia="Times New Roman" w:hAnsi="Times New Roman" w:cs="Times New Roman"/>
          <w:b/>
          <w:sz w:val="22"/>
          <w:szCs w:val="22"/>
          <w:lang w:eastAsia="bs-Latn-BA"/>
        </w:rPr>
      </w:pPr>
      <w:bookmarkStart w:id="3" w:name="_Toc38390882"/>
      <w:bookmarkStart w:id="4" w:name="_Toc24712160"/>
      <w:r>
        <w:rPr>
          <w:rFonts w:ascii="Times New Roman" w:eastAsia="Times New Roman" w:hAnsi="Times New Roman" w:cs="Times New Roman"/>
          <w:b/>
          <w:sz w:val="22"/>
          <w:szCs w:val="22"/>
          <w:lang w:eastAsia="bs-Latn-BA"/>
        </w:rPr>
        <w:t>Overview of Approaches and Advice on Covid-19 Emergency Response of International Organizations</w:t>
      </w:r>
      <w:bookmarkEnd w:id="3"/>
      <w:r>
        <w:rPr>
          <w:rFonts w:ascii="Times New Roman" w:eastAsia="Times New Roman" w:hAnsi="Times New Roman" w:cs="Times New Roman"/>
          <w:b/>
          <w:sz w:val="22"/>
          <w:szCs w:val="22"/>
          <w:lang w:eastAsia="bs-Latn-BA"/>
        </w:rPr>
        <w:t xml:space="preserve"> </w:t>
      </w:r>
    </w:p>
    <w:bookmarkEnd w:id="4"/>
    <w:p w14:paraId="46DA5944" w14:textId="1612FBD4" w:rsidR="002A0134" w:rsidRDefault="0025737E" w:rsidP="00A21EC2">
      <w:pPr>
        <w:spacing w:afterLines="80" w:after="192"/>
        <w:jc w:val="both"/>
        <w:rPr>
          <w:sz w:val="22"/>
          <w:szCs w:val="22"/>
          <w:lang w:eastAsia="sl-SI"/>
        </w:rPr>
      </w:pPr>
      <w:r>
        <w:rPr>
          <w:bCs/>
          <w:sz w:val="22"/>
          <w:szCs w:val="22"/>
          <w:lang w:eastAsia="sl-SI"/>
        </w:rPr>
        <w:t xml:space="preserve">An overview of possible options of PFM response to Covid-19 emergency based on international experience and the </w:t>
      </w:r>
      <w:r w:rsidR="000727C7">
        <w:rPr>
          <w:bCs/>
          <w:sz w:val="22"/>
          <w:szCs w:val="22"/>
          <w:lang w:eastAsia="sl-SI"/>
        </w:rPr>
        <w:t xml:space="preserve">latest </w:t>
      </w:r>
      <w:r>
        <w:rPr>
          <w:bCs/>
          <w:sz w:val="22"/>
          <w:szCs w:val="22"/>
          <w:lang w:eastAsia="sl-SI"/>
        </w:rPr>
        <w:t xml:space="preserve">World Bank and the International Monetary Fund (IMF) </w:t>
      </w:r>
      <w:r w:rsidR="000727C7">
        <w:rPr>
          <w:bCs/>
          <w:sz w:val="22"/>
          <w:szCs w:val="22"/>
          <w:lang w:eastAsia="sl-SI"/>
        </w:rPr>
        <w:t xml:space="preserve">papers /blogs </w:t>
      </w:r>
      <w:r>
        <w:rPr>
          <w:bCs/>
          <w:sz w:val="22"/>
          <w:szCs w:val="22"/>
          <w:lang w:eastAsia="sl-SI"/>
        </w:rPr>
        <w:t>was presented</w:t>
      </w:r>
      <w:r>
        <w:rPr>
          <w:sz w:val="22"/>
          <w:szCs w:val="22"/>
          <w:lang w:eastAsia="sl-SI"/>
        </w:rPr>
        <w:t xml:space="preserve"> by Iryna Shcherbyna, World Bank Senior Public Sector Specialist and BCOP Resource Team Coordinator. </w:t>
      </w:r>
    </w:p>
    <w:p w14:paraId="66A9FCCD" w14:textId="56E3BA1B" w:rsidR="005A1144" w:rsidRPr="00275739" w:rsidRDefault="0072297D" w:rsidP="00275739">
      <w:pPr>
        <w:pStyle w:val="Heading1"/>
        <w:spacing w:before="0" w:afterLines="80" w:after="192" w:line="240" w:lineRule="auto"/>
        <w:rPr>
          <w:rFonts w:ascii="Times New Roman" w:hAnsi="Times New Roman" w:cs="Times New Roman"/>
          <w:b/>
          <w:bCs/>
          <w:color w:val="00B0F0"/>
          <w:sz w:val="22"/>
          <w:szCs w:val="22"/>
        </w:rPr>
      </w:pPr>
      <w:bookmarkStart w:id="5" w:name="_Toc38390883"/>
      <w:r w:rsidRPr="00275739">
        <w:rPr>
          <w:rFonts w:ascii="Times New Roman" w:hAnsi="Times New Roman" w:cs="Times New Roman"/>
          <w:b/>
          <w:bCs/>
          <w:color w:val="00B0F0"/>
          <w:sz w:val="22"/>
          <w:szCs w:val="22"/>
        </w:rPr>
        <w:t>Core Objectives of Government’s Emergency Related Economic Policy Response</w:t>
      </w:r>
      <w:bookmarkEnd w:id="5"/>
    </w:p>
    <w:p w14:paraId="440CCA12" w14:textId="6AC6EC6D" w:rsidR="0025737E" w:rsidRDefault="0025737E" w:rsidP="0025737E">
      <w:pPr>
        <w:spacing w:afterLines="80" w:after="192"/>
        <w:jc w:val="both"/>
        <w:rPr>
          <w:sz w:val="22"/>
          <w:szCs w:val="22"/>
        </w:rPr>
      </w:pPr>
      <w:r>
        <w:rPr>
          <w:b/>
          <w:sz w:val="22"/>
          <w:szCs w:val="22"/>
        </w:rPr>
        <w:t xml:space="preserve">In the first part of her remarks, Ms. Shcherbyna gave </w:t>
      </w:r>
      <w:r w:rsidRPr="0025737E">
        <w:rPr>
          <w:b/>
          <w:bCs/>
          <w:sz w:val="22"/>
          <w:szCs w:val="22"/>
        </w:rPr>
        <w:t>an overview of the core objectives of governments’ emergency-related economic policy response that directly impact public financial management (PFM) and budgeting</w:t>
      </w:r>
      <w:r w:rsidR="002251A7" w:rsidRPr="002659A3">
        <w:rPr>
          <w:b/>
          <w:sz w:val="22"/>
          <w:szCs w:val="22"/>
        </w:rPr>
        <w:t>.</w:t>
      </w:r>
      <w:r w:rsidR="00F87318" w:rsidRPr="002659A3">
        <w:rPr>
          <w:sz w:val="22"/>
          <w:szCs w:val="22"/>
        </w:rPr>
        <w:t xml:space="preserve"> </w:t>
      </w:r>
      <w:r w:rsidR="007B0356" w:rsidRPr="002659A3">
        <w:rPr>
          <w:sz w:val="22"/>
          <w:szCs w:val="22"/>
        </w:rPr>
        <w:t>The</w:t>
      </w:r>
      <w:r>
        <w:rPr>
          <w:sz w:val="22"/>
          <w:szCs w:val="22"/>
        </w:rPr>
        <w:t xml:space="preserve"> </w:t>
      </w:r>
      <w:r w:rsidRPr="0025737E">
        <w:rPr>
          <w:sz w:val="22"/>
          <w:szCs w:val="22"/>
        </w:rPr>
        <w:t xml:space="preserve">core three objectives </w:t>
      </w:r>
      <w:r>
        <w:rPr>
          <w:sz w:val="22"/>
          <w:szCs w:val="22"/>
        </w:rPr>
        <w:t xml:space="preserve">include: i) ensuring the </w:t>
      </w:r>
      <w:r w:rsidRPr="0025737E">
        <w:rPr>
          <w:sz w:val="22"/>
          <w:szCs w:val="22"/>
        </w:rPr>
        <w:t xml:space="preserve">functioning of essential </w:t>
      </w:r>
      <w:r>
        <w:rPr>
          <w:sz w:val="22"/>
          <w:szCs w:val="22"/>
        </w:rPr>
        <w:t>emergency-related public services and sectors of economy</w:t>
      </w:r>
      <w:r w:rsidRPr="0025737E">
        <w:rPr>
          <w:sz w:val="22"/>
          <w:szCs w:val="22"/>
        </w:rPr>
        <w:t xml:space="preserve"> (</w:t>
      </w:r>
      <w:r>
        <w:rPr>
          <w:sz w:val="22"/>
          <w:szCs w:val="22"/>
        </w:rPr>
        <w:t xml:space="preserve">such as </w:t>
      </w:r>
      <w:r w:rsidRPr="0025737E">
        <w:rPr>
          <w:sz w:val="22"/>
          <w:szCs w:val="22"/>
        </w:rPr>
        <w:t xml:space="preserve">health care, food production, essential infrastructure, utilities </w:t>
      </w:r>
      <w:r>
        <w:rPr>
          <w:sz w:val="22"/>
          <w:szCs w:val="22"/>
        </w:rPr>
        <w:t>etc.); ii) providing aid to households impacted by the crisis</w:t>
      </w:r>
      <w:r w:rsidR="00820636">
        <w:rPr>
          <w:sz w:val="22"/>
          <w:szCs w:val="22"/>
        </w:rPr>
        <w:t xml:space="preserve"> (including </w:t>
      </w:r>
      <w:r w:rsidR="00820636">
        <w:rPr>
          <w:sz w:val="22"/>
          <w:szCs w:val="22"/>
        </w:rPr>
        <w:lastRenderedPageBreak/>
        <w:t>expanded unemployment benefits and social welfare cash transfers)</w:t>
      </w:r>
      <w:r>
        <w:rPr>
          <w:sz w:val="22"/>
          <w:szCs w:val="22"/>
        </w:rPr>
        <w:t xml:space="preserve">, and iii) preventing extensive economic disruptions </w:t>
      </w:r>
      <w:r w:rsidR="00820636">
        <w:rPr>
          <w:sz w:val="22"/>
          <w:szCs w:val="22"/>
        </w:rPr>
        <w:t xml:space="preserve">(including aid to private firms in the forms of conditioned wage subsidies, tax payment </w:t>
      </w:r>
      <w:r w:rsidR="006655E7">
        <w:rPr>
          <w:sz w:val="22"/>
          <w:szCs w:val="22"/>
        </w:rPr>
        <w:t xml:space="preserve">postponements </w:t>
      </w:r>
      <w:r w:rsidR="00820636">
        <w:rPr>
          <w:sz w:val="22"/>
          <w:szCs w:val="22"/>
        </w:rPr>
        <w:t xml:space="preserve">and waivers, and access to financing). </w:t>
      </w:r>
      <w:r w:rsidR="000727C7">
        <w:rPr>
          <w:sz w:val="22"/>
          <w:szCs w:val="22"/>
        </w:rPr>
        <w:t>T</w:t>
      </w:r>
      <w:r w:rsidR="00820636">
        <w:rPr>
          <w:sz w:val="22"/>
          <w:szCs w:val="22"/>
        </w:rPr>
        <w:t xml:space="preserve">he specific design of </w:t>
      </w:r>
      <w:r w:rsidR="000727C7">
        <w:rPr>
          <w:sz w:val="22"/>
          <w:szCs w:val="22"/>
        </w:rPr>
        <w:t>implemented</w:t>
      </w:r>
      <w:r w:rsidR="001F25C9">
        <w:rPr>
          <w:sz w:val="22"/>
          <w:szCs w:val="22"/>
        </w:rPr>
        <w:t xml:space="preserve"> </w:t>
      </w:r>
      <w:r w:rsidR="00820636">
        <w:rPr>
          <w:sz w:val="22"/>
          <w:szCs w:val="22"/>
        </w:rPr>
        <w:t>package of measures depend</w:t>
      </w:r>
      <w:r w:rsidR="00634F45">
        <w:rPr>
          <w:sz w:val="22"/>
          <w:szCs w:val="22"/>
        </w:rPr>
        <w:t>s</w:t>
      </w:r>
      <w:r w:rsidR="00820636">
        <w:rPr>
          <w:sz w:val="22"/>
          <w:szCs w:val="22"/>
        </w:rPr>
        <w:t xml:space="preserve"> </w:t>
      </w:r>
      <w:r w:rsidR="00634F45">
        <w:rPr>
          <w:sz w:val="22"/>
          <w:szCs w:val="22"/>
        </w:rPr>
        <w:t>from</w:t>
      </w:r>
      <w:r w:rsidR="00820636">
        <w:rPr>
          <w:sz w:val="22"/>
          <w:szCs w:val="22"/>
        </w:rPr>
        <w:t xml:space="preserve"> country specificities. </w:t>
      </w:r>
    </w:p>
    <w:p w14:paraId="300B6B03" w14:textId="01A4AA59" w:rsidR="006655E7" w:rsidRDefault="00634F45" w:rsidP="00AD0A84">
      <w:pPr>
        <w:spacing w:afterLines="80" w:after="192"/>
        <w:jc w:val="both"/>
        <w:rPr>
          <w:sz w:val="22"/>
          <w:szCs w:val="22"/>
        </w:rPr>
      </w:pPr>
      <w:r>
        <w:rPr>
          <w:b/>
          <w:bCs/>
          <w:sz w:val="22"/>
          <w:szCs w:val="22"/>
        </w:rPr>
        <w:t>P</w:t>
      </w:r>
      <w:r w:rsidR="00820636" w:rsidRPr="006655E7">
        <w:rPr>
          <w:b/>
          <w:bCs/>
          <w:sz w:val="22"/>
          <w:szCs w:val="22"/>
        </w:rPr>
        <w:t xml:space="preserve">olicies in support of households, businesses, and the financial sector </w:t>
      </w:r>
      <w:r w:rsidR="003962B3">
        <w:rPr>
          <w:b/>
          <w:bCs/>
          <w:sz w:val="22"/>
          <w:szCs w:val="22"/>
        </w:rPr>
        <w:t xml:space="preserve">could </w:t>
      </w:r>
      <w:r w:rsidR="00820636" w:rsidRPr="006655E7">
        <w:rPr>
          <w:b/>
          <w:bCs/>
          <w:sz w:val="22"/>
          <w:szCs w:val="22"/>
        </w:rPr>
        <w:t xml:space="preserve">involve a mix of liquidity </w:t>
      </w:r>
      <w:r w:rsidR="006655E7">
        <w:rPr>
          <w:b/>
          <w:bCs/>
          <w:sz w:val="22"/>
          <w:szCs w:val="22"/>
        </w:rPr>
        <w:t xml:space="preserve">and solvency </w:t>
      </w:r>
      <w:r w:rsidR="00820636" w:rsidRPr="006655E7">
        <w:rPr>
          <w:b/>
          <w:bCs/>
          <w:sz w:val="22"/>
          <w:szCs w:val="22"/>
        </w:rPr>
        <w:t>measures</w:t>
      </w:r>
      <w:r w:rsidR="006655E7">
        <w:rPr>
          <w:sz w:val="22"/>
          <w:szCs w:val="22"/>
        </w:rPr>
        <w:t xml:space="preserve">. Liquidity measures include providing access to loan financing and </w:t>
      </w:r>
      <w:r w:rsidR="00820636" w:rsidRPr="00820636">
        <w:rPr>
          <w:sz w:val="22"/>
          <w:szCs w:val="22"/>
        </w:rPr>
        <w:t>postponement of financial obligations</w:t>
      </w:r>
      <w:r w:rsidR="006655E7">
        <w:rPr>
          <w:sz w:val="22"/>
          <w:szCs w:val="22"/>
        </w:rPr>
        <w:t>/debt repayment, while</w:t>
      </w:r>
      <w:r w:rsidR="00820636" w:rsidRPr="00820636">
        <w:rPr>
          <w:sz w:val="22"/>
          <w:szCs w:val="22"/>
        </w:rPr>
        <w:t xml:space="preserve"> solvency measures </w:t>
      </w:r>
      <w:r w:rsidR="006655E7">
        <w:rPr>
          <w:sz w:val="22"/>
          <w:szCs w:val="22"/>
        </w:rPr>
        <w:t xml:space="preserve">include transfers of real resources/financial transfers. </w:t>
      </w:r>
      <w:r w:rsidR="006655E7" w:rsidRPr="006655E7">
        <w:rPr>
          <w:sz w:val="22"/>
          <w:szCs w:val="22"/>
        </w:rPr>
        <w:t>Ministries of Finance across the world are facilitating the rapid availability and flow of funds and resources for C</w:t>
      </w:r>
      <w:r w:rsidR="006655E7">
        <w:rPr>
          <w:sz w:val="22"/>
          <w:szCs w:val="22"/>
        </w:rPr>
        <w:t>ovid-</w:t>
      </w:r>
      <w:r w:rsidR="006655E7" w:rsidRPr="006655E7">
        <w:rPr>
          <w:sz w:val="22"/>
          <w:szCs w:val="22"/>
        </w:rPr>
        <w:t>19 through</w:t>
      </w:r>
      <w:r w:rsidR="006655E7">
        <w:rPr>
          <w:sz w:val="22"/>
          <w:szCs w:val="22"/>
        </w:rPr>
        <w:t xml:space="preserve"> a</w:t>
      </w:r>
      <w:r w:rsidR="006655E7" w:rsidRPr="006655E7">
        <w:rPr>
          <w:sz w:val="22"/>
          <w:szCs w:val="22"/>
        </w:rPr>
        <w:t xml:space="preserve">llowing current budgets allocated for the health sector and other sectors to be used for </w:t>
      </w:r>
      <w:r w:rsidR="006655E7">
        <w:rPr>
          <w:sz w:val="22"/>
          <w:szCs w:val="22"/>
        </w:rPr>
        <w:t>emergency</w:t>
      </w:r>
      <w:r w:rsidR="006655E7" w:rsidRPr="006655E7">
        <w:rPr>
          <w:sz w:val="22"/>
          <w:szCs w:val="22"/>
        </w:rPr>
        <w:t xml:space="preserve"> related response with the option of ex-post budget reallocation;</w:t>
      </w:r>
      <w:r w:rsidR="006655E7">
        <w:rPr>
          <w:sz w:val="22"/>
          <w:szCs w:val="22"/>
        </w:rPr>
        <w:t xml:space="preserve"> c</w:t>
      </w:r>
      <w:r w:rsidR="006655E7" w:rsidRPr="006655E7">
        <w:rPr>
          <w:sz w:val="22"/>
          <w:szCs w:val="22"/>
        </w:rPr>
        <w:t>hanneling funds from existing contingency budgets and national disaster response funds for the emergency expenditures needs;</w:t>
      </w:r>
      <w:r w:rsidR="006655E7">
        <w:rPr>
          <w:sz w:val="22"/>
          <w:szCs w:val="22"/>
        </w:rPr>
        <w:t xml:space="preserve"> i</w:t>
      </w:r>
      <w:r w:rsidR="006655E7" w:rsidRPr="006655E7">
        <w:rPr>
          <w:sz w:val="22"/>
          <w:szCs w:val="22"/>
        </w:rPr>
        <w:t>ssu</w:t>
      </w:r>
      <w:r w:rsidR="006655E7">
        <w:rPr>
          <w:sz w:val="22"/>
          <w:szCs w:val="22"/>
        </w:rPr>
        <w:t>ing</w:t>
      </w:r>
      <w:r w:rsidR="006655E7" w:rsidRPr="006655E7">
        <w:rPr>
          <w:sz w:val="22"/>
          <w:szCs w:val="22"/>
        </w:rPr>
        <w:t xml:space="preserve"> supplementary grants; </w:t>
      </w:r>
      <w:r w:rsidR="006655E7">
        <w:rPr>
          <w:sz w:val="22"/>
          <w:szCs w:val="22"/>
        </w:rPr>
        <w:t>and r</w:t>
      </w:r>
      <w:r w:rsidR="006655E7" w:rsidRPr="006655E7">
        <w:rPr>
          <w:sz w:val="22"/>
          <w:szCs w:val="22"/>
        </w:rPr>
        <w:t xml:space="preserve">equesting additional financing for existing donor-funded operations and requesting new investment and policy lending operations from </w:t>
      </w:r>
      <w:r w:rsidR="006655E7">
        <w:rPr>
          <w:sz w:val="22"/>
          <w:szCs w:val="22"/>
        </w:rPr>
        <w:t>international financial organizations</w:t>
      </w:r>
      <w:r w:rsidR="006655E7" w:rsidRPr="006655E7">
        <w:rPr>
          <w:sz w:val="22"/>
          <w:szCs w:val="22"/>
        </w:rPr>
        <w:t>.</w:t>
      </w:r>
    </w:p>
    <w:p w14:paraId="3BA01EE9" w14:textId="14F1FE59" w:rsidR="004F5929" w:rsidRPr="0072612A" w:rsidRDefault="0072297D" w:rsidP="004F5929">
      <w:pPr>
        <w:pStyle w:val="Heading1"/>
        <w:spacing w:before="0" w:afterLines="80" w:after="192" w:line="240" w:lineRule="auto"/>
        <w:rPr>
          <w:rFonts w:ascii="Times New Roman" w:hAnsi="Times New Roman" w:cs="Times New Roman"/>
          <w:b/>
          <w:bCs/>
          <w:color w:val="00B0F0"/>
          <w:sz w:val="22"/>
          <w:szCs w:val="22"/>
        </w:rPr>
      </w:pPr>
      <w:bookmarkStart w:id="6" w:name="_Toc38390884"/>
      <w:r w:rsidRPr="0072612A">
        <w:rPr>
          <w:rFonts w:ascii="Times New Roman" w:hAnsi="Times New Roman" w:cs="Times New Roman"/>
          <w:b/>
          <w:bCs/>
          <w:color w:val="00B0F0"/>
          <w:sz w:val="22"/>
          <w:szCs w:val="22"/>
        </w:rPr>
        <w:t>Ensuring Business Continuity in the Ministries of Finance and Treasuries</w:t>
      </w:r>
      <w:bookmarkEnd w:id="6"/>
      <w:r w:rsidRPr="0072612A">
        <w:rPr>
          <w:rFonts w:ascii="Times New Roman" w:hAnsi="Times New Roman" w:cs="Times New Roman"/>
          <w:b/>
          <w:bCs/>
          <w:color w:val="00B0F0"/>
          <w:sz w:val="22"/>
          <w:szCs w:val="22"/>
        </w:rPr>
        <w:t xml:space="preserve"> </w:t>
      </w:r>
    </w:p>
    <w:p w14:paraId="5ACA7935" w14:textId="4465DC26" w:rsidR="00DE3F0A" w:rsidRDefault="00A21EC2" w:rsidP="00DE3F0A">
      <w:pPr>
        <w:spacing w:afterLines="80" w:after="192"/>
        <w:jc w:val="both"/>
        <w:rPr>
          <w:sz w:val="22"/>
          <w:szCs w:val="22"/>
        </w:rPr>
      </w:pPr>
      <w:r>
        <w:rPr>
          <w:b/>
          <w:sz w:val="22"/>
          <w:szCs w:val="22"/>
        </w:rPr>
        <w:t xml:space="preserve">Ms. Shcherbyna next </w:t>
      </w:r>
      <w:r w:rsidR="00634F45">
        <w:rPr>
          <w:b/>
          <w:sz w:val="22"/>
          <w:szCs w:val="22"/>
        </w:rPr>
        <w:t xml:space="preserve">presented </w:t>
      </w:r>
      <w:r w:rsidR="00634F45">
        <w:rPr>
          <w:b/>
          <w:bCs/>
          <w:sz w:val="22"/>
          <w:szCs w:val="22"/>
        </w:rPr>
        <w:t>the WB’s</w:t>
      </w:r>
      <w:r w:rsidRPr="0025737E">
        <w:rPr>
          <w:b/>
          <w:bCs/>
          <w:sz w:val="22"/>
          <w:szCs w:val="22"/>
        </w:rPr>
        <w:t xml:space="preserve"> overview </w:t>
      </w:r>
      <w:r>
        <w:rPr>
          <w:b/>
          <w:bCs/>
          <w:sz w:val="22"/>
          <w:szCs w:val="22"/>
        </w:rPr>
        <w:t xml:space="preserve">of </w:t>
      </w:r>
      <w:r w:rsidRPr="00A21EC2">
        <w:rPr>
          <w:b/>
          <w:bCs/>
          <w:sz w:val="22"/>
          <w:szCs w:val="22"/>
        </w:rPr>
        <w:t>the common challenges and options related to ensuring the business continuity in the Ministries of Finance and Treasuries</w:t>
      </w:r>
      <w:r>
        <w:rPr>
          <w:b/>
          <w:bCs/>
          <w:sz w:val="22"/>
          <w:szCs w:val="22"/>
        </w:rPr>
        <w:t xml:space="preserve">. </w:t>
      </w:r>
      <w:r w:rsidR="00DE3F0A" w:rsidRPr="00DE3F0A">
        <w:rPr>
          <w:sz w:val="22"/>
          <w:szCs w:val="22"/>
        </w:rPr>
        <w:t>Ensuring business continuity require</w:t>
      </w:r>
      <w:r w:rsidR="00DE3F0A">
        <w:rPr>
          <w:sz w:val="22"/>
          <w:szCs w:val="22"/>
        </w:rPr>
        <w:t>s</w:t>
      </w:r>
      <w:r w:rsidR="00DE3F0A" w:rsidRPr="00DE3F0A">
        <w:rPr>
          <w:sz w:val="22"/>
          <w:szCs w:val="22"/>
        </w:rPr>
        <w:t xml:space="preserve"> responsiveness and flexibility, whilst providing the necessary controls to support value for money, minimize fraud</w:t>
      </w:r>
      <w:r w:rsidR="00DE3F0A">
        <w:rPr>
          <w:sz w:val="22"/>
          <w:szCs w:val="22"/>
        </w:rPr>
        <w:t xml:space="preserve"> and </w:t>
      </w:r>
      <w:r w:rsidR="00DE3F0A" w:rsidRPr="00DE3F0A">
        <w:rPr>
          <w:sz w:val="22"/>
          <w:szCs w:val="22"/>
        </w:rPr>
        <w:t>corruption</w:t>
      </w:r>
      <w:r w:rsidR="00DE3F0A">
        <w:rPr>
          <w:sz w:val="22"/>
          <w:szCs w:val="22"/>
        </w:rPr>
        <w:t>,</w:t>
      </w:r>
      <w:r w:rsidR="00DE3F0A" w:rsidRPr="00DE3F0A">
        <w:rPr>
          <w:sz w:val="22"/>
          <w:szCs w:val="22"/>
        </w:rPr>
        <w:t xml:space="preserve"> and maintain citizen trust and confidence. The W</w:t>
      </w:r>
      <w:r w:rsidR="00DE3F0A">
        <w:rPr>
          <w:sz w:val="22"/>
          <w:szCs w:val="22"/>
        </w:rPr>
        <w:t xml:space="preserve">orld </w:t>
      </w:r>
      <w:r w:rsidR="00DE3F0A" w:rsidRPr="00DE3F0A">
        <w:rPr>
          <w:sz w:val="22"/>
          <w:szCs w:val="22"/>
        </w:rPr>
        <w:t>B</w:t>
      </w:r>
      <w:r w:rsidR="00DE3F0A">
        <w:rPr>
          <w:sz w:val="22"/>
          <w:szCs w:val="22"/>
        </w:rPr>
        <w:t>ank</w:t>
      </w:r>
      <w:r w:rsidR="00DE3F0A" w:rsidRPr="00DE3F0A">
        <w:rPr>
          <w:sz w:val="22"/>
          <w:szCs w:val="22"/>
        </w:rPr>
        <w:t xml:space="preserve"> </w:t>
      </w:r>
      <w:r w:rsidR="00DE3F0A">
        <w:rPr>
          <w:sz w:val="22"/>
          <w:szCs w:val="22"/>
        </w:rPr>
        <w:t>stresses</w:t>
      </w:r>
      <w:r w:rsidR="00DE3F0A" w:rsidRPr="00DE3F0A">
        <w:rPr>
          <w:sz w:val="22"/>
          <w:szCs w:val="22"/>
        </w:rPr>
        <w:t xml:space="preserve"> that past health crises in developing countries, including </w:t>
      </w:r>
      <w:r w:rsidR="004E5A75">
        <w:rPr>
          <w:sz w:val="22"/>
          <w:szCs w:val="22"/>
        </w:rPr>
        <w:t>E</w:t>
      </w:r>
      <w:r w:rsidR="00DE3F0A" w:rsidRPr="00DE3F0A">
        <w:rPr>
          <w:sz w:val="22"/>
          <w:szCs w:val="22"/>
        </w:rPr>
        <w:t>bola and SARS, indicate</w:t>
      </w:r>
      <w:r w:rsidR="00DE3F0A">
        <w:rPr>
          <w:sz w:val="22"/>
          <w:szCs w:val="22"/>
        </w:rPr>
        <w:t xml:space="preserve"> that although</w:t>
      </w:r>
      <w:r w:rsidR="00DE3F0A" w:rsidRPr="00DE3F0A">
        <w:rPr>
          <w:sz w:val="22"/>
          <w:szCs w:val="22"/>
        </w:rPr>
        <w:t xml:space="preserve"> accountability and transparency requirements may need to be modified during emergency situations, th</w:t>
      </w:r>
      <w:r w:rsidR="00DE3F0A">
        <w:rPr>
          <w:sz w:val="22"/>
          <w:szCs w:val="22"/>
        </w:rPr>
        <w:t>e</w:t>
      </w:r>
      <w:r w:rsidR="00DE3F0A" w:rsidRPr="00DE3F0A">
        <w:rPr>
          <w:sz w:val="22"/>
          <w:szCs w:val="22"/>
        </w:rPr>
        <w:t xml:space="preserve"> guiding principles </w:t>
      </w:r>
      <w:r w:rsidR="00DE3F0A">
        <w:rPr>
          <w:sz w:val="22"/>
          <w:szCs w:val="22"/>
        </w:rPr>
        <w:t xml:space="preserve">must remain. There are four major areas in which Ministries of Finance need to act to ensure business continuity: </w:t>
      </w:r>
      <w:r w:rsidR="00DE3F0A" w:rsidRPr="00DE3F0A">
        <w:rPr>
          <w:sz w:val="22"/>
          <w:szCs w:val="22"/>
        </w:rPr>
        <w:t>internal coordination,</w:t>
      </w:r>
      <w:r w:rsidR="00DE3F0A">
        <w:rPr>
          <w:sz w:val="22"/>
          <w:szCs w:val="22"/>
        </w:rPr>
        <w:t xml:space="preserve"> </w:t>
      </w:r>
      <w:r w:rsidR="00DE3F0A" w:rsidRPr="00DE3F0A">
        <w:rPr>
          <w:sz w:val="22"/>
          <w:szCs w:val="22"/>
        </w:rPr>
        <w:t>business process review, consistent communication, and monitoring and responding to feedbac</w:t>
      </w:r>
      <w:r w:rsidR="00DE3F0A">
        <w:rPr>
          <w:sz w:val="22"/>
          <w:szCs w:val="22"/>
        </w:rPr>
        <w:t xml:space="preserve">k. </w:t>
      </w:r>
    </w:p>
    <w:p w14:paraId="71888D27" w14:textId="513D9C71" w:rsidR="00DE3F0A" w:rsidRDefault="00DE3F0A" w:rsidP="004E5A75">
      <w:pPr>
        <w:contextualSpacing/>
        <w:jc w:val="both"/>
        <w:rPr>
          <w:sz w:val="22"/>
          <w:szCs w:val="22"/>
        </w:rPr>
      </w:pPr>
      <w:r w:rsidRPr="004E5A75">
        <w:rPr>
          <w:b/>
          <w:bCs/>
          <w:sz w:val="22"/>
          <w:szCs w:val="22"/>
        </w:rPr>
        <w:t xml:space="preserve">Efficient </w:t>
      </w:r>
      <w:r w:rsidR="004E5A75" w:rsidRPr="004E5A75">
        <w:rPr>
          <w:b/>
          <w:bCs/>
          <w:sz w:val="22"/>
          <w:szCs w:val="22"/>
        </w:rPr>
        <w:t>i</w:t>
      </w:r>
      <w:r w:rsidRPr="004E5A75">
        <w:rPr>
          <w:b/>
          <w:bCs/>
          <w:sz w:val="22"/>
          <w:szCs w:val="22"/>
        </w:rPr>
        <w:t xml:space="preserve">nternal </w:t>
      </w:r>
      <w:r w:rsidR="004E5A75" w:rsidRPr="004E5A75">
        <w:rPr>
          <w:b/>
          <w:bCs/>
          <w:sz w:val="22"/>
          <w:szCs w:val="22"/>
        </w:rPr>
        <w:t>c</w:t>
      </w:r>
      <w:r w:rsidRPr="004E5A75">
        <w:rPr>
          <w:b/>
          <w:bCs/>
          <w:sz w:val="22"/>
          <w:szCs w:val="22"/>
        </w:rPr>
        <w:t xml:space="preserve">oordination </w:t>
      </w:r>
      <w:r w:rsidR="004E5A75" w:rsidRPr="004E5A75">
        <w:rPr>
          <w:b/>
          <w:bCs/>
          <w:sz w:val="22"/>
          <w:szCs w:val="22"/>
        </w:rPr>
        <w:t>is</w:t>
      </w:r>
      <w:r w:rsidRPr="004E5A75">
        <w:rPr>
          <w:b/>
          <w:bCs/>
          <w:sz w:val="22"/>
          <w:szCs w:val="22"/>
        </w:rPr>
        <w:t xml:space="preserve"> needed to maximize</w:t>
      </w:r>
      <w:r w:rsidR="004E5A75" w:rsidRPr="004E5A75">
        <w:rPr>
          <w:b/>
          <w:bCs/>
          <w:sz w:val="22"/>
          <w:szCs w:val="22"/>
        </w:rPr>
        <w:t xml:space="preserve"> </w:t>
      </w:r>
      <w:r w:rsidR="001F25C9">
        <w:rPr>
          <w:b/>
          <w:bCs/>
          <w:sz w:val="22"/>
          <w:szCs w:val="22"/>
        </w:rPr>
        <w:t xml:space="preserve">the </w:t>
      </w:r>
      <w:r w:rsidR="004E5A75" w:rsidRPr="004E5A75">
        <w:rPr>
          <w:b/>
          <w:bCs/>
          <w:sz w:val="22"/>
          <w:szCs w:val="22"/>
        </w:rPr>
        <w:t>switch to partial</w:t>
      </w:r>
      <w:r w:rsidRPr="004E5A75">
        <w:rPr>
          <w:b/>
          <w:bCs/>
          <w:sz w:val="22"/>
          <w:szCs w:val="22"/>
        </w:rPr>
        <w:t xml:space="preserve"> </w:t>
      </w:r>
      <w:r w:rsidR="004E5A75" w:rsidRPr="004E5A75">
        <w:rPr>
          <w:b/>
          <w:bCs/>
          <w:sz w:val="22"/>
          <w:szCs w:val="22"/>
        </w:rPr>
        <w:t>home-based work</w:t>
      </w:r>
      <w:r w:rsidR="004E5A75">
        <w:rPr>
          <w:b/>
          <w:bCs/>
          <w:sz w:val="22"/>
          <w:szCs w:val="22"/>
        </w:rPr>
        <w:t xml:space="preserve"> mode</w:t>
      </w:r>
      <w:r w:rsidR="004E5A75" w:rsidRPr="004E5A75">
        <w:rPr>
          <w:b/>
          <w:bCs/>
          <w:sz w:val="22"/>
          <w:szCs w:val="22"/>
        </w:rPr>
        <w:t xml:space="preserve"> </w:t>
      </w:r>
      <w:r w:rsidRPr="004E5A75">
        <w:rPr>
          <w:b/>
          <w:bCs/>
          <w:sz w:val="22"/>
          <w:szCs w:val="22"/>
        </w:rPr>
        <w:t>and to change core business processes</w:t>
      </w:r>
      <w:r w:rsidR="004E5A75" w:rsidRPr="004E5A75">
        <w:rPr>
          <w:b/>
          <w:bCs/>
          <w:sz w:val="22"/>
          <w:szCs w:val="22"/>
        </w:rPr>
        <w:t xml:space="preserve"> in Ministries of Finance</w:t>
      </w:r>
      <w:r w:rsidR="004E5A75">
        <w:rPr>
          <w:b/>
          <w:bCs/>
          <w:sz w:val="22"/>
          <w:szCs w:val="22"/>
        </w:rPr>
        <w:t xml:space="preserve">. </w:t>
      </w:r>
      <w:r w:rsidRPr="004E5A75">
        <w:rPr>
          <w:sz w:val="22"/>
          <w:szCs w:val="22"/>
        </w:rPr>
        <w:t xml:space="preserve">To maximize </w:t>
      </w:r>
      <w:r w:rsidR="004E5A75" w:rsidRPr="004E5A75">
        <w:rPr>
          <w:sz w:val="22"/>
          <w:szCs w:val="22"/>
        </w:rPr>
        <w:t>home-based work mode, Ministries of Finance</w:t>
      </w:r>
      <w:r w:rsidR="004E5A75">
        <w:rPr>
          <w:sz w:val="22"/>
          <w:szCs w:val="22"/>
        </w:rPr>
        <w:t xml:space="preserve"> are advised to </w:t>
      </w:r>
      <w:r w:rsidRPr="004E5A75">
        <w:rPr>
          <w:sz w:val="22"/>
          <w:szCs w:val="22"/>
        </w:rPr>
        <w:t xml:space="preserve">develop detailed procedures </w:t>
      </w:r>
      <w:r w:rsidR="004E5A75">
        <w:rPr>
          <w:sz w:val="22"/>
          <w:szCs w:val="22"/>
        </w:rPr>
        <w:t>that can be</w:t>
      </w:r>
      <w:r w:rsidRPr="004E5A75">
        <w:rPr>
          <w:sz w:val="22"/>
          <w:szCs w:val="22"/>
        </w:rPr>
        <w:t xml:space="preserve"> issued by</w:t>
      </w:r>
      <w:r w:rsidR="004E5A75">
        <w:rPr>
          <w:sz w:val="22"/>
          <w:szCs w:val="22"/>
        </w:rPr>
        <w:t xml:space="preserve"> email or</w:t>
      </w:r>
      <w:r w:rsidRPr="004E5A75">
        <w:rPr>
          <w:sz w:val="22"/>
          <w:szCs w:val="22"/>
        </w:rPr>
        <w:t xml:space="preserve"> phone including arrangements and timing for receipt of required documentation</w:t>
      </w:r>
      <w:r w:rsidR="004E5A75">
        <w:rPr>
          <w:sz w:val="22"/>
          <w:szCs w:val="22"/>
        </w:rPr>
        <w:t>, to i</w:t>
      </w:r>
      <w:r w:rsidRPr="004E5A75">
        <w:rPr>
          <w:sz w:val="22"/>
          <w:szCs w:val="22"/>
        </w:rPr>
        <w:t>ssue instructions on receiving official postal mails and transmitting them to homes of officials/staff where relevant</w:t>
      </w:r>
      <w:r w:rsidR="004E5A75">
        <w:rPr>
          <w:sz w:val="22"/>
          <w:szCs w:val="22"/>
        </w:rPr>
        <w:t>, to a</w:t>
      </w:r>
      <w:r w:rsidRPr="004E5A75">
        <w:rPr>
          <w:sz w:val="22"/>
          <w:szCs w:val="22"/>
        </w:rPr>
        <w:t xml:space="preserve">ssess technologies available for document management systems and </w:t>
      </w:r>
      <w:r w:rsidR="004E5A75">
        <w:rPr>
          <w:sz w:val="22"/>
          <w:szCs w:val="22"/>
        </w:rPr>
        <w:t xml:space="preserve">consider how </w:t>
      </w:r>
      <w:r w:rsidR="004A481C" w:rsidRPr="009E7E9B">
        <w:rPr>
          <w:sz w:val="22"/>
          <w:szCs w:val="22"/>
        </w:rPr>
        <w:t xml:space="preserve">Financial Management Information Systems </w:t>
      </w:r>
      <w:r w:rsidR="004A481C">
        <w:rPr>
          <w:sz w:val="22"/>
          <w:szCs w:val="22"/>
        </w:rPr>
        <w:t>(</w:t>
      </w:r>
      <w:r w:rsidRPr="004E5A75">
        <w:rPr>
          <w:sz w:val="22"/>
          <w:szCs w:val="22"/>
        </w:rPr>
        <w:t>FMIS</w:t>
      </w:r>
      <w:r w:rsidR="004A481C">
        <w:rPr>
          <w:sz w:val="22"/>
          <w:szCs w:val="22"/>
        </w:rPr>
        <w:t>)</w:t>
      </w:r>
      <w:r w:rsidRPr="004E5A75">
        <w:rPr>
          <w:sz w:val="22"/>
          <w:szCs w:val="22"/>
        </w:rPr>
        <w:t xml:space="preserve"> can </w:t>
      </w:r>
      <w:r w:rsidR="004E5A75">
        <w:rPr>
          <w:sz w:val="22"/>
          <w:szCs w:val="22"/>
        </w:rPr>
        <w:t>be used to assist the procedures. To change business processes, the existing</w:t>
      </w:r>
      <w:r w:rsidR="00A410C6">
        <w:rPr>
          <w:sz w:val="22"/>
          <w:szCs w:val="22"/>
        </w:rPr>
        <w:t xml:space="preserve"> emergency</w:t>
      </w:r>
      <w:r w:rsidR="004E5A75">
        <w:rPr>
          <w:sz w:val="22"/>
          <w:szCs w:val="22"/>
        </w:rPr>
        <w:t xml:space="preserve"> </w:t>
      </w:r>
      <w:r w:rsidRPr="004E5A75">
        <w:rPr>
          <w:sz w:val="22"/>
          <w:szCs w:val="22"/>
        </w:rPr>
        <w:t xml:space="preserve">provisions </w:t>
      </w:r>
      <w:r w:rsidR="004E5A75">
        <w:rPr>
          <w:sz w:val="22"/>
          <w:szCs w:val="22"/>
        </w:rPr>
        <w:t xml:space="preserve">should be evaluated, </w:t>
      </w:r>
      <w:r w:rsidRPr="004E5A75">
        <w:rPr>
          <w:sz w:val="22"/>
          <w:szCs w:val="22"/>
        </w:rPr>
        <w:t>critical business functions</w:t>
      </w:r>
      <w:r w:rsidR="00A410C6">
        <w:rPr>
          <w:sz w:val="22"/>
          <w:szCs w:val="22"/>
        </w:rPr>
        <w:t xml:space="preserve"> identified, business process review carried out, and finally interim instructions for procedures in Ministry of Finance, Treas</w:t>
      </w:r>
      <w:r w:rsidR="00A75F3E">
        <w:rPr>
          <w:sz w:val="22"/>
          <w:szCs w:val="22"/>
        </w:rPr>
        <w:t>u</w:t>
      </w:r>
      <w:r w:rsidR="00A410C6">
        <w:rPr>
          <w:sz w:val="22"/>
          <w:szCs w:val="22"/>
        </w:rPr>
        <w:t xml:space="preserve">ry and spending units developed. </w:t>
      </w:r>
    </w:p>
    <w:p w14:paraId="57339FDF" w14:textId="75062172" w:rsidR="009E76D5" w:rsidRDefault="00DE3F0A" w:rsidP="009E76D5">
      <w:pPr>
        <w:spacing w:before="120" w:after="120"/>
        <w:jc w:val="both"/>
        <w:rPr>
          <w:sz w:val="22"/>
          <w:szCs w:val="22"/>
        </w:rPr>
      </w:pPr>
      <w:r w:rsidRPr="00C60918">
        <w:rPr>
          <w:b/>
          <w:bCs/>
          <w:sz w:val="22"/>
          <w:szCs w:val="22"/>
        </w:rPr>
        <w:t>It is critical to</w:t>
      </w:r>
      <w:r w:rsidR="00A75F3E" w:rsidRPr="00C60918">
        <w:rPr>
          <w:b/>
          <w:bCs/>
          <w:sz w:val="22"/>
          <w:szCs w:val="22"/>
        </w:rPr>
        <w:t xml:space="preserve"> r</w:t>
      </w:r>
      <w:r w:rsidRPr="00C60918">
        <w:rPr>
          <w:b/>
          <w:bCs/>
          <w:sz w:val="22"/>
          <w:szCs w:val="22"/>
        </w:rPr>
        <w:t xml:space="preserve">eview </w:t>
      </w:r>
      <w:r w:rsidR="00A75F3E" w:rsidRPr="00C60918">
        <w:rPr>
          <w:b/>
          <w:bCs/>
          <w:sz w:val="22"/>
          <w:szCs w:val="22"/>
        </w:rPr>
        <w:t>c</w:t>
      </w:r>
      <w:r w:rsidRPr="00C60918">
        <w:rPr>
          <w:b/>
          <w:bCs/>
          <w:sz w:val="22"/>
          <w:szCs w:val="22"/>
        </w:rPr>
        <w:t xml:space="preserve">ash </w:t>
      </w:r>
      <w:r w:rsidR="00A75F3E" w:rsidRPr="00C60918">
        <w:rPr>
          <w:b/>
          <w:bCs/>
          <w:sz w:val="22"/>
          <w:szCs w:val="22"/>
        </w:rPr>
        <w:t>m</w:t>
      </w:r>
      <w:r w:rsidRPr="00C60918">
        <w:rPr>
          <w:b/>
          <w:bCs/>
          <w:sz w:val="22"/>
          <w:szCs w:val="22"/>
        </w:rPr>
        <w:t>anagement, Treasury Single Account</w:t>
      </w:r>
      <w:r w:rsidR="00A75F3E" w:rsidRPr="00C60918">
        <w:rPr>
          <w:b/>
          <w:bCs/>
          <w:sz w:val="22"/>
          <w:szCs w:val="22"/>
        </w:rPr>
        <w:t xml:space="preserve"> (TSA)</w:t>
      </w:r>
      <w:r w:rsidRPr="00C60918">
        <w:rPr>
          <w:b/>
          <w:bCs/>
          <w:sz w:val="22"/>
          <w:szCs w:val="22"/>
        </w:rPr>
        <w:t xml:space="preserve"> and </w:t>
      </w:r>
      <w:r w:rsidR="00A75F3E" w:rsidRPr="00C60918">
        <w:rPr>
          <w:b/>
          <w:bCs/>
          <w:sz w:val="22"/>
          <w:szCs w:val="22"/>
        </w:rPr>
        <w:t>f</w:t>
      </w:r>
      <w:r w:rsidRPr="00C60918">
        <w:rPr>
          <w:b/>
          <w:bCs/>
          <w:sz w:val="22"/>
          <w:szCs w:val="22"/>
        </w:rPr>
        <w:t xml:space="preserve">und </w:t>
      </w:r>
      <w:r w:rsidR="00A75F3E" w:rsidRPr="00C60918">
        <w:rPr>
          <w:b/>
          <w:bCs/>
          <w:sz w:val="22"/>
          <w:szCs w:val="22"/>
        </w:rPr>
        <w:t>f</w:t>
      </w:r>
      <w:r w:rsidRPr="00C60918">
        <w:rPr>
          <w:b/>
          <w:bCs/>
          <w:sz w:val="22"/>
          <w:szCs w:val="22"/>
        </w:rPr>
        <w:t>low</w:t>
      </w:r>
      <w:r w:rsidR="00C60918">
        <w:rPr>
          <w:b/>
          <w:bCs/>
          <w:sz w:val="22"/>
          <w:szCs w:val="22"/>
        </w:rPr>
        <w:t xml:space="preserve"> process</w:t>
      </w:r>
      <w:r w:rsidR="001F25C9">
        <w:rPr>
          <w:b/>
          <w:bCs/>
          <w:sz w:val="22"/>
          <w:szCs w:val="22"/>
        </w:rPr>
        <w:t>es</w:t>
      </w:r>
      <w:r w:rsidR="00C60918">
        <w:rPr>
          <w:b/>
          <w:bCs/>
          <w:sz w:val="22"/>
          <w:szCs w:val="22"/>
        </w:rPr>
        <w:t xml:space="preserve"> and adjust to emergency needs</w:t>
      </w:r>
      <w:r w:rsidRPr="00A410C6">
        <w:rPr>
          <w:sz w:val="22"/>
          <w:szCs w:val="22"/>
        </w:rPr>
        <w:t xml:space="preserve">. Possible </w:t>
      </w:r>
      <w:r w:rsidR="00C60918">
        <w:rPr>
          <w:sz w:val="22"/>
          <w:szCs w:val="22"/>
        </w:rPr>
        <w:t xml:space="preserve">considerations </w:t>
      </w:r>
      <w:r w:rsidR="00634F45">
        <w:rPr>
          <w:sz w:val="22"/>
          <w:szCs w:val="22"/>
        </w:rPr>
        <w:t xml:space="preserve">advised by the WB </w:t>
      </w:r>
      <w:r w:rsidR="00C60918">
        <w:rPr>
          <w:sz w:val="22"/>
          <w:szCs w:val="22"/>
        </w:rPr>
        <w:t>include: i) to c</w:t>
      </w:r>
      <w:r w:rsidRPr="00C60918">
        <w:rPr>
          <w:sz w:val="22"/>
          <w:szCs w:val="22"/>
        </w:rPr>
        <w:t>onsolidate all public sector funds into the TSA, including those of central bank</w:t>
      </w:r>
      <w:r w:rsidR="00C60918">
        <w:rPr>
          <w:sz w:val="22"/>
          <w:szCs w:val="22"/>
        </w:rPr>
        <w:t xml:space="preserve"> and SOEs</w:t>
      </w:r>
      <w:r w:rsidRPr="00C60918">
        <w:rPr>
          <w:sz w:val="22"/>
          <w:szCs w:val="22"/>
        </w:rPr>
        <w:t xml:space="preserve"> in respective balance sheets</w:t>
      </w:r>
      <w:r w:rsidR="00C60918">
        <w:rPr>
          <w:sz w:val="22"/>
          <w:szCs w:val="22"/>
        </w:rPr>
        <w:t xml:space="preserve"> as an</w:t>
      </w:r>
      <w:r w:rsidRPr="00C60918">
        <w:rPr>
          <w:sz w:val="22"/>
          <w:szCs w:val="22"/>
        </w:rPr>
        <w:t xml:space="preserve"> </w:t>
      </w:r>
      <w:r w:rsidR="00C60918">
        <w:rPr>
          <w:sz w:val="22"/>
          <w:szCs w:val="22"/>
        </w:rPr>
        <w:t>em</w:t>
      </w:r>
      <w:r w:rsidRPr="00C60918">
        <w:rPr>
          <w:sz w:val="22"/>
          <w:szCs w:val="22"/>
        </w:rPr>
        <w:t>ergency measure</w:t>
      </w:r>
      <w:r w:rsidR="00C60918">
        <w:rPr>
          <w:sz w:val="22"/>
          <w:szCs w:val="22"/>
        </w:rPr>
        <w:t xml:space="preserve"> </w:t>
      </w:r>
      <w:r w:rsidRPr="00C60918">
        <w:rPr>
          <w:sz w:val="22"/>
          <w:szCs w:val="22"/>
        </w:rPr>
        <w:t>to meet</w:t>
      </w:r>
      <w:r w:rsidR="00C60918">
        <w:rPr>
          <w:sz w:val="22"/>
          <w:szCs w:val="22"/>
        </w:rPr>
        <w:t xml:space="preserve"> potential </w:t>
      </w:r>
      <w:r w:rsidRPr="00C60918">
        <w:rPr>
          <w:sz w:val="22"/>
          <w:szCs w:val="22"/>
        </w:rPr>
        <w:t>liquidity challenge</w:t>
      </w:r>
      <w:r w:rsidR="00C60918">
        <w:rPr>
          <w:sz w:val="22"/>
          <w:szCs w:val="22"/>
        </w:rPr>
        <w:t>s</w:t>
      </w:r>
      <w:r w:rsidRPr="00C60918">
        <w:rPr>
          <w:sz w:val="22"/>
          <w:szCs w:val="22"/>
        </w:rPr>
        <w:t>;</w:t>
      </w:r>
      <w:r w:rsidR="00C60918">
        <w:rPr>
          <w:sz w:val="22"/>
          <w:szCs w:val="22"/>
        </w:rPr>
        <w:t xml:space="preserve"> to r</w:t>
      </w:r>
      <w:r w:rsidRPr="00C60918">
        <w:rPr>
          <w:sz w:val="22"/>
          <w:szCs w:val="22"/>
        </w:rPr>
        <w:t xml:space="preserve">eview and adjust spending authorizations to allow </w:t>
      </w:r>
      <w:r w:rsidR="00D42475">
        <w:rPr>
          <w:sz w:val="22"/>
          <w:szCs w:val="22"/>
        </w:rPr>
        <w:t xml:space="preserve">emergency service </w:t>
      </w:r>
      <w:r w:rsidRPr="00C60918">
        <w:rPr>
          <w:sz w:val="22"/>
          <w:szCs w:val="22"/>
        </w:rPr>
        <w:t xml:space="preserve">funds to flow </w:t>
      </w:r>
      <w:r w:rsidR="00C60918">
        <w:rPr>
          <w:sz w:val="22"/>
          <w:szCs w:val="22"/>
        </w:rPr>
        <w:t xml:space="preserve">more </w:t>
      </w:r>
      <w:r w:rsidRPr="00C60918">
        <w:rPr>
          <w:sz w:val="22"/>
          <w:szCs w:val="22"/>
        </w:rPr>
        <w:t>quickly</w:t>
      </w:r>
      <w:r w:rsidR="00D42475">
        <w:rPr>
          <w:sz w:val="22"/>
          <w:szCs w:val="22"/>
        </w:rPr>
        <w:t xml:space="preserve"> during emergency period, i.e. loosening spending authorization procedure</w:t>
      </w:r>
      <w:r w:rsidR="00C60918">
        <w:rPr>
          <w:sz w:val="22"/>
          <w:szCs w:val="22"/>
        </w:rPr>
        <w:t xml:space="preserve"> (</w:t>
      </w:r>
      <w:r w:rsidR="00D42475">
        <w:rPr>
          <w:sz w:val="22"/>
          <w:szCs w:val="22"/>
        </w:rPr>
        <w:t>e.g. in</w:t>
      </w:r>
      <w:r w:rsidRPr="00C60918">
        <w:rPr>
          <w:sz w:val="22"/>
          <w:szCs w:val="22"/>
        </w:rPr>
        <w:t xml:space="preserve"> India, </w:t>
      </w:r>
      <w:r w:rsidR="00D42475">
        <w:rPr>
          <w:sz w:val="22"/>
          <w:szCs w:val="22"/>
        </w:rPr>
        <w:t xml:space="preserve">Ministry of Finance </w:t>
      </w:r>
      <w:r w:rsidRPr="00C60918">
        <w:rPr>
          <w:sz w:val="22"/>
          <w:szCs w:val="22"/>
        </w:rPr>
        <w:t>have provided blanket spending authority to the health department</w:t>
      </w:r>
      <w:r w:rsidR="00D42475">
        <w:rPr>
          <w:sz w:val="22"/>
          <w:szCs w:val="22"/>
        </w:rPr>
        <w:t>); to s</w:t>
      </w:r>
      <w:r w:rsidRPr="00D42475">
        <w:rPr>
          <w:sz w:val="22"/>
          <w:szCs w:val="22"/>
        </w:rPr>
        <w:t>end additional funds through the inter-government transfer system</w:t>
      </w:r>
      <w:r w:rsidR="00D42475">
        <w:rPr>
          <w:sz w:val="22"/>
          <w:szCs w:val="22"/>
        </w:rPr>
        <w:t xml:space="preserve"> for decentralized emergency services</w:t>
      </w:r>
      <w:r w:rsidRPr="00D42475">
        <w:rPr>
          <w:sz w:val="22"/>
          <w:szCs w:val="22"/>
        </w:rPr>
        <w:t xml:space="preserve">; </w:t>
      </w:r>
      <w:r w:rsidR="00D42475">
        <w:rPr>
          <w:sz w:val="22"/>
          <w:szCs w:val="22"/>
        </w:rPr>
        <w:t>to set</w:t>
      </w:r>
      <w:r w:rsidRPr="00D42475">
        <w:rPr>
          <w:sz w:val="22"/>
          <w:szCs w:val="22"/>
        </w:rPr>
        <w:t xml:space="preserve"> up pooled </w:t>
      </w:r>
      <w:r w:rsidR="00D42475">
        <w:rPr>
          <w:sz w:val="22"/>
          <w:szCs w:val="22"/>
        </w:rPr>
        <w:t xml:space="preserve">or simplified </w:t>
      </w:r>
      <w:r w:rsidRPr="00D42475">
        <w:rPr>
          <w:sz w:val="22"/>
          <w:szCs w:val="22"/>
        </w:rPr>
        <w:t>procurements at the central level</w:t>
      </w:r>
      <w:r w:rsidR="00D42475">
        <w:rPr>
          <w:sz w:val="22"/>
          <w:szCs w:val="22"/>
        </w:rPr>
        <w:t xml:space="preserve"> for </w:t>
      </w:r>
      <w:r w:rsidRPr="00D42475">
        <w:rPr>
          <w:sz w:val="22"/>
          <w:szCs w:val="22"/>
        </w:rPr>
        <w:t>emergency acquisitions</w:t>
      </w:r>
      <w:r w:rsidR="00D42475">
        <w:rPr>
          <w:sz w:val="22"/>
          <w:szCs w:val="22"/>
        </w:rPr>
        <w:t xml:space="preserve"> (e.g. in Ukraine, </w:t>
      </w:r>
      <w:r w:rsidRPr="00D42475">
        <w:rPr>
          <w:sz w:val="22"/>
          <w:szCs w:val="22"/>
        </w:rPr>
        <w:t>simplified procedures for procurement during the emergency</w:t>
      </w:r>
      <w:r w:rsidR="00D42475">
        <w:rPr>
          <w:sz w:val="22"/>
          <w:szCs w:val="22"/>
        </w:rPr>
        <w:t xml:space="preserve"> are announced</w:t>
      </w:r>
      <w:r w:rsidRPr="00D42475">
        <w:rPr>
          <w:sz w:val="22"/>
          <w:szCs w:val="22"/>
        </w:rPr>
        <w:t>, while still maintaining mandatory reporting in the e-procurement system</w:t>
      </w:r>
      <w:r w:rsidR="00D42475">
        <w:rPr>
          <w:sz w:val="22"/>
          <w:szCs w:val="22"/>
        </w:rPr>
        <w:t xml:space="preserve">); and to plan ahead </w:t>
      </w:r>
      <w:r w:rsidR="009E76D5">
        <w:rPr>
          <w:sz w:val="22"/>
          <w:szCs w:val="22"/>
        </w:rPr>
        <w:t xml:space="preserve">the procedures related to flow of funds from additional sources of loan and donor financing to ensure </w:t>
      </w:r>
      <w:r w:rsidRPr="00C60918">
        <w:rPr>
          <w:sz w:val="22"/>
          <w:szCs w:val="22"/>
        </w:rPr>
        <w:t xml:space="preserve">no overlapping with other funds is possible </w:t>
      </w:r>
      <w:r w:rsidR="009E76D5">
        <w:rPr>
          <w:sz w:val="22"/>
          <w:szCs w:val="22"/>
        </w:rPr>
        <w:t>regardless of</w:t>
      </w:r>
      <w:r w:rsidRPr="00C60918">
        <w:rPr>
          <w:sz w:val="22"/>
          <w:szCs w:val="22"/>
        </w:rPr>
        <w:t xml:space="preserve"> whether</w:t>
      </w:r>
      <w:r w:rsidR="009E76D5">
        <w:rPr>
          <w:sz w:val="22"/>
          <w:szCs w:val="22"/>
        </w:rPr>
        <w:t xml:space="preserve"> </w:t>
      </w:r>
      <w:r w:rsidRPr="00C60918">
        <w:rPr>
          <w:sz w:val="22"/>
          <w:szCs w:val="22"/>
        </w:rPr>
        <w:t>s</w:t>
      </w:r>
      <w:r w:rsidR="009E76D5">
        <w:rPr>
          <w:sz w:val="22"/>
          <w:szCs w:val="22"/>
        </w:rPr>
        <w:t>uch</w:t>
      </w:r>
      <w:r w:rsidRPr="00C60918">
        <w:rPr>
          <w:sz w:val="22"/>
          <w:szCs w:val="22"/>
        </w:rPr>
        <w:t xml:space="preserve"> funds  will enter </w:t>
      </w:r>
      <w:r w:rsidR="009E76D5">
        <w:rPr>
          <w:sz w:val="22"/>
          <w:szCs w:val="22"/>
        </w:rPr>
        <w:t xml:space="preserve">the </w:t>
      </w:r>
      <w:r w:rsidRPr="00C60918">
        <w:rPr>
          <w:sz w:val="22"/>
          <w:szCs w:val="22"/>
        </w:rPr>
        <w:t>TSA or be managed separately as extra-budgetary funds</w:t>
      </w:r>
      <w:r w:rsidR="009E76D5">
        <w:rPr>
          <w:sz w:val="22"/>
          <w:szCs w:val="22"/>
        </w:rPr>
        <w:t xml:space="preserve"> (e.g. </w:t>
      </w:r>
      <w:r w:rsidRPr="00C60918">
        <w:rPr>
          <w:sz w:val="22"/>
          <w:szCs w:val="22"/>
        </w:rPr>
        <w:t>South Africa established a Reconstruction and Development Fund to ensure transparent, coordinated and accountable use of donor funds</w:t>
      </w:r>
      <w:r w:rsidR="009E76D5">
        <w:rPr>
          <w:sz w:val="22"/>
          <w:szCs w:val="22"/>
        </w:rPr>
        <w:t>)</w:t>
      </w:r>
      <w:r w:rsidRPr="00C60918">
        <w:rPr>
          <w:sz w:val="22"/>
          <w:szCs w:val="22"/>
        </w:rPr>
        <w:t>.</w:t>
      </w:r>
    </w:p>
    <w:p w14:paraId="75C5EB48" w14:textId="645999CA" w:rsidR="00017F26" w:rsidRDefault="009E76D5" w:rsidP="009E7E9B">
      <w:pPr>
        <w:spacing w:before="120" w:after="120"/>
        <w:jc w:val="both"/>
        <w:rPr>
          <w:sz w:val="22"/>
          <w:szCs w:val="22"/>
        </w:rPr>
      </w:pPr>
      <w:r w:rsidRPr="00017F26">
        <w:rPr>
          <w:b/>
          <w:bCs/>
          <w:sz w:val="22"/>
          <w:szCs w:val="22"/>
        </w:rPr>
        <w:lastRenderedPageBreak/>
        <w:t>Ministries of Finance and Treasuries</w:t>
      </w:r>
      <w:r w:rsidR="00017F26" w:rsidRPr="00017F26">
        <w:rPr>
          <w:b/>
          <w:bCs/>
          <w:sz w:val="22"/>
          <w:szCs w:val="22"/>
        </w:rPr>
        <w:t xml:space="preserve"> should jointly consider payment processing</w:t>
      </w:r>
      <w:r w:rsidR="009E7E9B">
        <w:rPr>
          <w:b/>
          <w:bCs/>
          <w:sz w:val="22"/>
          <w:szCs w:val="22"/>
        </w:rPr>
        <w:t xml:space="preserve"> options</w:t>
      </w:r>
      <w:r w:rsidR="00017F26">
        <w:rPr>
          <w:sz w:val="22"/>
          <w:szCs w:val="22"/>
        </w:rPr>
        <w:t xml:space="preserve">. Many developing countries, including some countries in ECA region, may not have </w:t>
      </w:r>
      <w:r w:rsidR="00017F26" w:rsidRPr="00017F26">
        <w:rPr>
          <w:sz w:val="22"/>
          <w:szCs w:val="22"/>
        </w:rPr>
        <w:t>technolog</w:t>
      </w:r>
      <w:r w:rsidR="00017F26">
        <w:rPr>
          <w:sz w:val="22"/>
          <w:szCs w:val="22"/>
        </w:rPr>
        <w:t>ical requirements to facilitate payment processing within a</w:t>
      </w:r>
      <w:r w:rsidR="00017F26" w:rsidRPr="00017F26">
        <w:rPr>
          <w:sz w:val="22"/>
          <w:szCs w:val="22"/>
        </w:rPr>
        <w:t xml:space="preserve"> </w:t>
      </w:r>
      <w:r w:rsidR="00017F26">
        <w:rPr>
          <w:sz w:val="22"/>
          <w:szCs w:val="22"/>
        </w:rPr>
        <w:t>home-based work mode of operations</w:t>
      </w:r>
      <w:r w:rsidR="00017F26" w:rsidRPr="00017F26">
        <w:rPr>
          <w:sz w:val="22"/>
          <w:szCs w:val="22"/>
        </w:rPr>
        <w:t>. Thus, in addition to prioritization of payments</w:t>
      </w:r>
      <w:r w:rsidR="00017F26">
        <w:rPr>
          <w:sz w:val="22"/>
          <w:szCs w:val="22"/>
        </w:rPr>
        <w:t xml:space="preserve">, </w:t>
      </w:r>
      <w:r w:rsidR="00017F26" w:rsidRPr="00017F26">
        <w:rPr>
          <w:sz w:val="22"/>
          <w:szCs w:val="22"/>
        </w:rPr>
        <w:t xml:space="preserve">which is </w:t>
      </w:r>
      <w:r w:rsidR="00017F26">
        <w:rPr>
          <w:sz w:val="22"/>
          <w:szCs w:val="22"/>
        </w:rPr>
        <w:t xml:space="preserve">an </w:t>
      </w:r>
      <w:r w:rsidR="00017F26" w:rsidRPr="00017F26">
        <w:rPr>
          <w:sz w:val="22"/>
          <w:szCs w:val="22"/>
        </w:rPr>
        <w:t xml:space="preserve">obvious </w:t>
      </w:r>
      <w:r w:rsidR="00017F26">
        <w:rPr>
          <w:sz w:val="22"/>
          <w:szCs w:val="22"/>
        </w:rPr>
        <w:t>need for all countries, specific</w:t>
      </w:r>
      <w:r w:rsidR="00017F26" w:rsidRPr="00017F26">
        <w:rPr>
          <w:sz w:val="22"/>
          <w:szCs w:val="22"/>
        </w:rPr>
        <w:t xml:space="preserve"> procedures for fast-tracking </w:t>
      </w:r>
      <w:r w:rsidR="009E7E9B">
        <w:rPr>
          <w:sz w:val="22"/>
          <w:szCs w:val="22"/>
        </w:rPr>
        <w:t>Covid-1</w:t>
      </w:r>
      <w:r w:rsidR="004A481C">
        <w:rPr>
          <w:sz w:val="22"/>
          <w:szCs w:val="22"/>
        </w:rPr>
        <w:t>9</w:t>
      </w:r>
      <w:r w:rsidR="009E7E9B">
        <w:rPr>
          <w:sz w:val="22"/>
          <w:szCs w:val="22"/>
        </w:rPr>
        <w:t xml:space="preserve"> </w:t>
      </w:r>
      <w:r w:rsidR="00017F26" w:rsidRPr="00017F26">
        <w:rPr>
          <w:sz w:val="22"/>
          <w:szCs w:val="22"/>
        </w:rPr>
        <w:t xml:space="preserve">related payments should be given priority, given that staffing </w:t>
      </w:r>
      <w:r w:rsidR="009E7E9B">
        <w:rPr>
          <w:sz w:val="22"/>
          <w:szCs w:val="22"/>
        </w:rPr>
        <w:t xml:space="preserve">is </w:t>
      </w:r>
      <w:r w:rsidR="00017F26" w:rsidRPr="00017F26">
        <w:rPr>
          <w:sz w:val="22"/>
          <w:szCs w:val="22"/>
        </w:rPr>
        <w:t xml:space="preserve">below normal levels. </w:t>
      </w:r>
      <w:r w:rsidR="00017F26" w:rsidRPr="009E7E9B">
        <w:rPr>
          <w:sz w:val="22"/>
          <w:szCs w:val="22"/>
        </w:rPr>
        <w:t xml:space="preserve">It is </w:t>
      </w:r>
      <w:r w:rsidR="009E7E9B">
        <w:rPr>
          <w:sz w:val="22"/>
          <w:szCs w:val="22"/>
        </w:rPr>
        <w:t xml:space="preserve">also </w:t>
      </w:r>
      <w:r w:rsidR="00017F26" w:rsidRPr="009E7E9B">
        <w:rPr>
          <w:sz w:val="22"/>
          <w:szCs w:val="22"/>
        </w:rPr>
        <w:t xml:space="preserve">important to </w:t>
      </w:r>
      <w:r w:rsidR="009E7E9B">
        <w:rPr>
          <w:sz w:val="22"/>
          <w:szCs w:val="22"/>
        </w:rPr>
        <w:t>e</w:t>
      </w:r>
      <w:r w:rsidR="00017F26" w:rsidRPr="009E7E9B">
        <w:rPr>
          <w:sz w:val="22"/>
          <w:szCs w:val="22"/>
        </w:rPr>
        <w:t>nable simple tools to receive digital documents</w:t>
      </w:r>
      <w:r w:rsidR="009E7E9B">
        <w:rPr>
          <w:sz w:val="22"/>
          <w:szCs w:val="22"/>
        </w:rPr>
        <w:t xml:space="preserve">, </w:t>
      </w:r>
      <w:proofErr w:type="gramStart"/>
      <w:r w:rsidR="009E7E9B">
        <w:rPr>
          <w:sz w:val="22"/>
          <w:szCs w:val="22"/>
        </w:rPr>
        <w:t>m</w:t>
      </w:r>
      <w:r w:rsidR="00017F26" w:rsidRPr="009E7E9B">
        <w:rPr>
          <w:sz w:val="22"/>
          <w:szCs w:val="22"/>
        </w:rPr>
        <w:t>ak</w:t>
      </w:r>
      <w:r w:rsidR="009E7E9B">
        <w:rPr>
          <w:sz w:val="22"/>
          <w:szCs w:val="22"/>
        </w:rPr>
        <w:t>ing</w:t>
      </w:r>
      <w:r w:rsidR="00017F26" w:rsidRPr="009E7E9B">
        <w:rPr>
          <w:sz w:val="22"/>
          <w:szCs w:val="22"/>
        </w:rPr>
        <w:t xml:space="preserve"> arrangements</w:t>
      </w:r>
      <w:proofErr w:type="gramEnd"/>
      <w:r w:rsidR="00017F26" w:rsidRPr="009E7E9B">
        <w:rPr>
          <w:sz w:val="22"/>
          <w:szCs w:val="22"/>
        </w:rPr>
        <w:t xml:space="preserve"> for accepting digital documents</w:t>
      </w:r>
      <w:r w:rsidR="009E7E9B">
        <w:rPr>
          <w:sz w:val="22"/>
          <w:szCs w:val="22"/>
        </w:rPr>
        <w:t xml:space="preserve"> for payment processing</w:t>
      </w:r>
      <w:r w:rsidR="00017F26" w:rsidRPr="009E7E9B">
        <w:rPr>
          <w:sz w:val="22"/>
          <w:szCs w:val="22"/>
        </w:rPr>
        <w:t xml:space="preserve"> </w:t>
      </w:r>
      <w:r w:rsidR="009E7E9B">
        <w:rPr>
          <w:sz w:val="22"/>
          <w:szCs w:val="22"/>
        </w:rPr>
        <w:t>(</w:t>
      </w:r>
      <w:r w:rsidR="00017F26" w:rsidRPr="009E7E9B">
        <w:rPr>
          <w:sz w:val="22"/>
          <w:szCs w:val="22"/>
        </w:rPr>
        <w:t>such as a scanned attachment to an email address opened specially for this purpose</w:t>
      </w:r>
      <w:r w:rsidR="009E7E9B">
        <w:rPr>
          <w:sz w:val="22"/>
          <w:szCs w:val="22"/>
        </w:rPr>
        <w:t>)</w:t>
      </w:r>
      <w:r w:rsidR="00017F26" w:rsidRPr="009E7E9B">
        <w:rPr>
          <w:sz w:val="22"/>
          <w:szCs w:val="22"/>
        </w:rPr>
        <w:t xml:space="preserve">. These documents could be accepted as interim documents and used for payment processing, subject to final delivery of paper documents </w:t>
      </w:r>
      <w:r w:rsidR="009E7E9B">
        <w:rPr>
          <w:sz w:val="22"/>
          <w:szCs w:val="22"/>
        </w:rPr>
        <w:t>at a later point</w:t>
      </w:r>
      <w:r w:rsidR="00017F26" w:rsidRPr="009E7E9B">
        <w:rPr>
          <w:sz w:val="22"/>
          <w:szCs w:val="22"/>
        </w:rPr>
        <w:t xml:space="preserve">. </w:t>
      </w:r>
    </w:p>
    <w:p w14:paraId="01C805C6" w14:textId="1FA82F94" w:rsidR="004A0F80" w:rsidRPr="004A481C" w:rsidRDefault="009E7E9B" w:rsidP="004A481C">
      <w:pPr>
        <w:spacing w:before="120" w:after="120"/>
        <w:jc w:val="both"/>
        <w:rPr>
          <w:sz w:val="22"/>
          <w:szCs w:val="22"/>
        </w:rPr>
      </w:pPr>
      <w:r w:rsidRPr="009E7E9B">
        <w:rPr>
          <w:b/>
          <w:bCs/>
          <w:sz w:val="22"/>
          <w:szCs w:val="22"/>
        </w:rPr>
        <w:t>Reporting and audit also require special attention</w:t>
      </w:r>
      <w:r>
        <w:rPr>
          <w:sz w:val="22"/>
          <w:szCs w:val="22"/>
        </w:rPr>
        <w:t xml:space="preserve">. </w:t>
      </w:r>
      <w:r w:rsidR="00634F45">
        <w:rPr>
          <w:sz w:val="22"/>
          <w:szCs w:val="22"/>
        </w:rPr>
        <w:t xml:space="preserve">The WB highlights that the </w:t>
      </w:r>
      <w:r>
        <w:rPr>
          <w:sz w:val="22"/>
          <w:szCs w:val="22"/>
        </w:rPr>
        <w:t xml:space="preserve">Ministry of Finance and </w:t>
      </w:r>
      <w:r w:rsidR="00DE3F0A" w:rsidRPr="009E7E9B">
        <w:rPr>
          <w:sz w:val="22"/>
          <w:szCs w:val="22"/>
        </w:rPr>
        <w:t xml:space="preserve">Treasury should work closely to ensure that </w:t>
      </w:r>
      <w:r w:rsidR="004A481C">
        <w:rPr>
          <w:sz w:val="22"/>
          <w:szCs w:val="22"/>
        </w:rPr>
        <w:t>Covid-19</w:t>
      </w:r>
      <w:r w:rsidR="00DE3F0A" w:rsidRPr="009E7E9B">
        <w:rPr>
          <w:sz w:val="22"/>
          <w:szCs w:val="22"/>
        </w:rPr>
        <w:t xml:space="preserve"> related expenditures can be reported through appropriate budgeting and accounting codes.</w:t>
      </w:r>
      <w:r w:rsidR="004A481C">
        <w:rPr>
          <w:sz w:val="22"/>
          <w:szCs w:val="22"/>
        </w:rPr>
        <w:t xml:space="preserve"> </w:t>
      </w:r>
      <w:r w:rsidR="00DE3F0A" w:rsidRPr="009E7E9B">
        <w:rPr>
          <w:sz w:val="22"/>
          <w:szCs w:val="22"/>
        </w:rPr>
        <w:t>FMIS</w:t>
      </w:r>
      <w:r w:rsidR="004A481C">
        <w:rPr>
          <w:sz w:val="22"/>
          <w:szCs w:val="22"/>
        </w:rPr>
        <w:t xml:space="preserve"> </w:t>
      </w:r>
      <w:r w:rsidR="00DE3F0A" w:rsidRPr="009E7E9B">
        <w:rPr>
          <w:sz w:val="22"/>
          <w:szCs w:val="22"/>
        </w:rPr>
        <w:t>should be adjusted to reflect these changes at the appropriate level.</w:t>
      </w:r>
      <w:r w:rsidR="004A481C">
        <w:rPr>
          <w:sz w:val="22"/>
          <w:szCs w:val="22"/>
        </w:rPr>
        <w:t xml:space="preserve"> Ministries of Finance should also </w:t>
      </w:r>
      <w:r w:rsidR="00DE3F0A" w:rsidRPr="004A481C">
        <w:rPr>
          <w:sz w:val="22"/>
          <w:szCs w:val="22"/>
        </w:rPr>
        <w:t>institute mechanisms for enhanced ex-post reviews through internal audit. A typical approach is to perform a virtual post</w:t>
      </w:r>
      <w:r w:rsidR="001F25C9">
        <w:rPr>
          <w:sz w:val="22"/>
          <w:szCs w:val="22"/>
        </w:rPr>
        <w:t>-</w:t>
      </w:r>
      <w:r w:rsidR="00DE3F0A" w:rsidRPr="004A481C">
        <w:rPr>
          <w:sz w:val="22"/>
          <w:szCs w:val="22"/>
        </w:rPr>
        <w:t>audit completed immediately after the transactions are recorded in the</w:t>
      </w:r>
      <w:r w:rsidR="004A481C">
        <w:rPr>
          <w:sz w:val="22"/>
          <w:szCs w:val="22"/>
        </w:rPr>
        <w:t xml:space="preserve"> </w:t>
      </w:r>
      <w:r w:rsidR="00DE3F0A" w:rsidRPr="004A481C">
        <w:rPr>
          <w:sz w:val="22"/>
          <w:szCs w:val="22"/>
        </w:rPr>
        <w:t>FMIS.</w:t>
      </w:r>
    </w:p>
    <w:p w14:paraId="5ABD3788" w14:textId="469E62FC" w:rsidR="004F5929" w:rsidRPr="0072612A" w:rsidRDefault="0072297D" w:rsidP="004F5929">
      <w:pPr>
        <w:pStyle w:val="Heading1"/>
        <w:spacing w:before="0" w:afterLines="80" w:after="192" w:line="240" w:lineRule="auto"/>
        <w:rPr>
          <w:rFonts w:ascii="Times New Roman" w:hAnsi="Times New Roman" w:cs="Times New Roman"/>
          <w:b/>
          <w:bCs/>
          <w:color w:val="00B0F0"/>
          <w:sz w:val="22"/>
          <w:szCs w:val="22"/>
        </w:rPr>
      </w:pPr>
      <w:bookmarkStart w:id="7" w:name="_Toc38390885"/>
      <w:r w:rsidRPr="0072612A">
        <w:rPr>
          <w:rFonts w:ascii="Times New Roman" w:hAnsi="Times New Roman" w:cs="Times New Roman"/>
          <w:b/>
          <w:bCs/>
          <w:color w:val="00B0F0"/>
          <w:sz w:val="22"/>
          <w:szCs w:val="22"/>
        </w:rPr>
        <w:t>Post-Pandemic Recovery and Fiscal Resilience Building</w:t>
      </w:r>
      <w:bookmarkEnd w:id="7"/>
    </w:p>
    <w:p w14:paraId="12BFD641" w14:textId="70DA13B0" w:rsidR="004A481C" w:rsidRPr="004A0F80" w:rsidRDefault="004A481C" w:rsidP="00F24B29">
      <w:pPr>
        <w:spacing w:afterLines="80" w:after="192"/>
        <w:jc w:val="both"/>
        <w:rPr>
          <w:sz w:val="28"/>
          <w:szCs w:val="28"/>
        </w:rPr>
      </w:pPr>
      <w:r>
        <w:rPr>
          <w:b/>
          <w:sz w:val="22"/>
          <w:szCs w:val="22"/>
        </w:rPr>
        <w:t>Adequate PFM responses will be required for p</w:t>
      </w:r>
      <w:r w:rsidRPr="004A481C">
        <w:rPr>
          <w:b/>
          <w:sz w:val="22"/>
          <w:szCs w:val="22"/>
        </w:rPr>
        <w:t>ost-pandemic</w:t>
      </w:r>
      <w:r>
        <w:rPr>
          <w:b/>
          <w:sz w:val="22"/>
          <w:szCs w:val="22"/>
        </w:rPr>
        <w:t xml:space="preserve"> r</w:t>
      </w:r>
      <w:r w:rsidRPr="004A481C">
        <w:rPr>
          <w:b/>
          <w:sz w:val="22"/>
          <w:szCs w:val="22"/>
        </w:rPr>
        <w:t xml:space="preserve">ecovery and </w:t>
      </w:r>
      <w:r>
        <w:rPr>
          <w:b/>
          <w:sz w:val="22"/>
          <w:szCs w:val="22"/>
        </w:rPr>
        <w:t>f</w:t>
      </w:r>
      <w:r w:rsidRPr="004A481C">
        <w:rPr>
          <w:b/>
          <w:sz w:val="22"/>
          <w:szCs w:val="22"/>
        </w:rPr>
        <w:t xml:space="preserve">iscal </w:t>
      </w:r>
      <w:r>
        <w:rPr>
          <w:b/>
          <w:sz w:val="22"/>
          <w:szCs w:val="22"/>
        </w:rPr>
        <w:t>r</w:t>
      </w:r>
      <w:r w:rsidRPr="004A481C">
        <w:rPr>
          <w:b/>
          <w:sz w:val="22"/>
          <w:szCs w:val="22"/>
        </w:rPr>
        <w:t xml:space="preserve">esilience </w:t>
      </w:r>
      <w:r>
        <w:rPr>
          <w:b/>
          <w:sz w:val="22"/>
          <w:szCs w:val="22"/>
        </w:rPr>
        <w:t xml:space="preserve">building. </w:t>
      </w:r>
      <w:r w:rsidRPr="004A481C">
        <w:rPr>
          <w:bCs/>
          <w:sz w:val="22"/>
          <w:szCs w:val="22"/>
        </w:rPr>
        <w:t xml:space="preserve">In addition to macro-fiscal stability and debt management issues, which will be in the center of PFM post-pandemic considerations, there are several other considerations Ministries of Finance could </w:t>
      </w:r>
      <w:proofErr w:type="gramStart"/>
      <w:r w:rsidRPr="004A481C">
        <w:rPr>
          <w:bCs/>
          <w:sz w:val="22"/>
          <w:szCs w:val="22"/>
        </w:rPr>
        <w:t>take into account</w:t>
      </w:r>
      <w:proofErr w:type="gramEnd"/>
      <w:r w:rsidR="00634F45">
        <w:rPr>
          <w:bCs/>
          <w:sz w:val="22"/>
          <w:szCs w:val="22"/>
        </w:rPr>
        <w:t>, as advised in the recent WB paper</w:t>
      </w:r>
      <w:r w:rsidRPr="004A481C">
        <w:rPr>
          <w:bCs/>
          <w:sz w:val="22"/>
          <w:szCs w:val="22"/>
        </w:rPr>
        <w:t>. These include:</w:t>
      </w:r>
      <w:r>
        <w:rPr>
          <w:b/>
          <w:sz w:val="22"/>
          <w:szCs w:val="22"/>
        </w:rPr>
        <w:t xml:space="preserve"> </w:t>
      </w:r>
      <w:r w:rsidRPr="004A481C">
        <w:rPr>
          <w:bCs/>
          <w:sz w:val="22"/>
          <w:szCs w:val="22"/>
        </w:rPr>
        <w:t xml:space="preserve">i) establishment of contingency funds and open special purpose accounts to channel donations; ii) expansion of the coverage of </w:t>
      </w:r>
      <w:r w:rsidR="001F25C9">
        <w:rPr>
          <w:bCs/>
          <w:sz w:val="22"/>
          <w:szCs w:val="22"/>
        </w:rPr>
        <w:t xml:space="preserve">the </w:t>
      </w:r>
      <w:r w:rsidRPr="004A481C">
        <w:rPr>
          <w:bCs/>
          <w:sz w:val="22"/>
          <w:szCs w:val="22"/>
        </w:rPr>
        <w:t>Treasury Single Account; iii) strengthening of post-audit</w:t>
      </w:r>
      <w:r>
        <w:rPr>
          <w:bCs/>
          <w:sz w:val="22"/>
          <w:szCs w:val="22"/>
        </w:rPr>
        <w:t xml:space="preserve"> (given that </w:t>
      </w:r>
      <w:r w:rsidRPr="004A481C">
        <w:rPr>
          <w:bCs/>
          <w:sz w:val="22"/>
          <w:szCs w:val="22"/>
        </w:rPr>
        <w:t xml:space="preserve">many payments during the response phase </w:t>
      </w:r>
      <w:r>
        <w:rPr>
          <w:bCs/>
          <w:sz w:val="22"/>
          <w:szCs w:val="22"/>
        </w:rPr>
        <w:t>are likely to go</w:t>
      </w:r>
      <w:r w:rsidRPr="004A481C">
        <w:rPr>
          <w:bCs/>
          <w:sz w:val="22"/>
          <w:szCs w:val="22"/>
        </w:rPr>
        <w:t xml:space="preserve"> through expedited channels, by-passing many ex-ante controls, it is important to ensure post-audit of these payments in partnership with internal, third party independent agents, and external audit</w:t>
      </w:r>
      <w:r w:rsidRPr="004A0F80">
        <w:rPr>
          <w:bCs/>
          <w:sz w:val="22"/>
          <w:szCs w:val="22"/>
        </w:rPr>
        <w:t xml:space="preserve">); iv) promoting </w:t>
      </w:r>
      <w:proofErr w:type="spellStart"/>
      <w:r w:rsidRPr="004A0F80">
        <w:rPr>
          <w:bCs/>
          <w:sz w:val="22"/>
          <w:szCs w:val="22"/>
        </w:rPr>
        <w:t>GovTech</w:t>
      </w:r>
      <w:proofErr w:type="spellEnd"/>
      <w:r w:rsidRPr="004A0F80">
        <w:rPr>
          <w:bCs/>
          <w:sz w:val="22"/>
          <w:szCs w:val="22"/>
        </w:rPr>
        <w:t xml:space="preserve"> in PFM</w:t>
      </w:r>
      <w:r w:rsidR="004A0F80" w:rsidRPr="004A0F80">
        <w:rPr>
          <w:bCs/>
          <w:sz w:val="22"/>
          <w:szCs w:val="22"/>
        </w:rPr>
        <w:t xml:space="preserve"> (since </w:t>
      </w:r>
      <w:r w:rsidR="00400AAA">
        <w:rPr>
          <w:bCs/>
          <w:sz w:val="22"/>
          <w:szCs w:val="22"/>
        </w:rPr>
        <w:t xml:space="preserve">an </w:t>
      </w:r>
      <w:r w:rsidRPr="004A0F80">
        <w:rPr>
          <w:bCs/>
          <w:sz w:val="22"/>
          <w:szCs w:val="22"/>
        </w:rPr>
        <w:t>overwhelming majority of countries use</w:t>
      </w:r>
      <w:r w:rsidR="00400AAA">
        <w:rPr>
          <w:bCs/>
          <w:sz w:val="22"/>
          <w:szCs w:val="22"/>
        </w:rPr>
        <w:t xml:space="preserve"> </w:t>
      </w:r>
      <w:r w:rsidRPr="004A0F80">
        <w:rPr>
          <w:bCs/>
          <w:sz w:val="22"/>
          <w:szCs w:val="22"/>
        </w:rPr>
        <w:t>bank accounts for disbursement of payments, the pandemic offers an opportunity to explore different forms of digital payments – G2G, G2P, G2B – through different channels,  for example focusing on mobile money and ATM cards</w:t>
      </w:r>
      <w:r w:rsidR="004A0F80" w:rsidRPr="004A0F80">
        <w:rPr>
          <w:bCs/>
          <w:sz w:val="22"/>
          <w:szCs w:val="22"/>
        </w:rPr>
        <w:t>); v) s</w:t>
      </w:r>
      <w:r w:rsidRPr="004A0F80">
        <w:rPr>
          <w:bCs/>
          <w:sz w:val="22"/>
          <w:szCs w:val="22"/>
        </w:rPr>
        <w:t>trengthen</w:t>
      </w:r>
      <w:r w:rsidR="004A0F80" w:rsidRPr="004A0F80">
        <w:rPr>
          <w:bCs/>
          <w:sz w:val="22"/>
          <w:szCs w:val="22"/>
        </w:rPr>
        <w:t>ing</w:t>
      </w:r>
      <w:r w:rsidRPr="004A0F80">
        <w:rPr>
          <w:bCs/>
          <w:sz w:val="22"/>
          <w:szCs w:val="22"/>
        </w:rPr>
        <w:t xml:space="preserve"> IT security for home-based access</w:t>
      </w:r>
      <w:r w:rsidR="004A0F80" w:rsidRPr="004A0F80">
        <w:rPr>
          <w:bCs/>
          <w:sz w:val="22"/>
          <w:szCs w:val="22"/>
        </w:rPr>
        <w:t xml:space="preserve">; and vi) </w:t>
      </w:r>
      <w:r w:rsidRPr="004A0F80">
        <w:rPr>
          <w:bCs/>
          <w:sz w:val="22"/>
          <w:szCs w:val="22"/>
        </w:rPr>
        <w:t>incorporat</w:t>
      </w:r>
      <w:r w:rsidR="004A0F80" w:rsidRPr="004A0F80">
        <w:rPr>
          <w:bCs/>
          <w:sz w:val="22"/>
          <w:szCs w:val="22"/>
        </w:rPr>
        <w:t>ing</w:t>
      </w:r>
      <w:r w:rsidRPr="004A0F80">
        <w:rPr>
          <w:bCs/>
          <w:sz w:val="22"/>
          <w:szCs w:val="22"/>
        </w:rPr>
        <w:t xml:space="preserve"> lessons learned in a more comprehensive Business Continuity Plan</w:t>
      </w:r>
      <w:r w:rsidR="004A0F80" w:rsidRPr="004A0F80">
        <w:rPr>
          <w:bCs/>
          <w:sz w:val="22"/>
          <w:szCs w:val="22"/>
        </w:rPr>
        <w:t xml:space="preserve"> of Ministries of Finance</w:t>
      </w:r>
      <w:r w:rsidRPr="004A0F80">
        <w:rPr>
          <w:bCs/>
          <w:sz w:val="22"/>
          <w:szCs w:val="22"/>
        </w:rPr>
        <w:t>.</w:t>
      </w:r>
      <w:r w:rsidRPr="00EF5280">
        <w:rPr>
          <w:rFonts w:eastAsiaTheme="minorEastAsia"/>
          <w:color w:val="000000" w:themeColor="text1"/>
          <w:kern w:val="24"/>
          <w:sz w:val="28"/>
          <w:szCs w:val="28"/>
        </w:rPr>
        <w:t xml:space="preserve"> </w:t>
      </w:r>
    </w:p>
    <w:p w14:paraId="12FC4E6E" w14:textId="4FA818C6" w:rsidR="004A0F80" w:rsidRPr="006B1A16" w:rsidRDefault="0072297D" w:rsidP="00A35244">
      <w:pPr>
        <w:pStyle w:val="Heading1"/>
        <w:numPr>
          <w:ilvl w:val="0"/>
          <w:numId w:val="1"/>
        </w:numPr>
        <w:spacing w:before="0" w:afterLines="80" w:after="192" w:line="240" w:lineRule="auto"/>
        <w:ind w:left="540" w:hanging="450"/>
        <w:rPr>
          <w:rFonts w:ascii="Times New Roman" w:eastAsia="Times New Roman" w:hAnsi="Times New Roman" w:cs="Times New Roman"/>
          <w:b/>
          <w:sz w:val="22"/>
          <w:szCs w:val="22"/>
          <w:lang w:eastAsia="bs-Latn-BA"/>
        </w:rPr>
      </w:pPr>
      <w:bookmarkStart w:id="8" w:name="_Toc38390886"/>
      <w:r>
        <w:rPr>
          <w:rFonts w:ascii="Times New Roman" w:eastAsia="Times New Roman" w:hAnsi="Times New Roman" w:cs="Times New Roman"/>
          <w:b/>
          <w:sz w:val="22"/>
          <w:szCs w:val="22"/>
          <w:lang w:eastAsia="bs-Latn-BA"/>
        </w:rPr>
        <w:t>Fiscal Transparency in Times of Emergency</w:t>
      </w:r>
      <w:bookmarkEnd w:id="8"/>
      <w:r>
        <w:rPr>
          <w:rFonts w:ascii="Times New Roman" w:eastAsia="Times New Roman" w:hAnsi="Times New Roman" w:cs="Times New Roman"/>
          <w:b/>
          <w:sz w:val="22"/>
          <w:szCs w:val="22"/>
          <w:lang w:eastAsia="bs-Latn-BA"/>
        </w:rPr>
        <w:t xml:space="preserve"> </w:t>
      </w:r>
    </w:p>
    <w:p w14:paraId="1D3C7C10" w14:textId="29FC67C3" w:rsidR="004A0F80" w:rsidRPr="006B1A16" w:rsidRDefault="004A0F80" w:rsidP="00C53AA5">
      <w:pPr>
        <w:spacing w:afterLines="80" w:after="192"/>
        <w:jc w:val="both"/>
        <w:rPr>
          <w:bCs/>
          <w:sz w:val="22"/>
          <w:szCs w:val="22"/>
          <w:lang w:eastAsia="sl-SI"/>
        </w:rPr>
      </w:pPr>
      <w:r>
        <w:rPr>
          <w:bCs/>
          <w:sz w:val="22"/>
          <w:szCs w:val="22"/>
          <w:lang w:eastAsia="sl-SI"/>
        </w:rPr>
        <w:t>A</w:t>
      </w:r>
      <w:r w:rsidR="006B1A16">
        <w:rPr>
          <w:bCs/>
          <w:sz w:val="22"/>
          <w:szCs w:val="22"/>
          <w:lang w:eastAsia="sl-SI"/>
        </w:rPr>
        <w:t xml:space="preserve"> summary of </w:t>
      </w:r>
      <w:r w:rsidR="006B1A16" w:rsidRPr="006B1A16">
        <w:rPr>
          <w:bCs/>
          <w:sz w:val="22"/>
          <w:szCs w:val="22"/>
          <w:lang w:eastAsia="sl-SI"/>
        </w:rPr>
        <w:t xml:space="preserve">latest advice from the Global Initiative for Fiscal Transparency (GIFT) </w:t>
      </w:r>
      <w:r w:rsidR="006B1A16">
        <w:rPr>
          <w:bCs/>
          <w:sz w:val="22"/>
          <w:szCs w:val="22"/>
          <w:lang w:eastAsia="sl-SI"/>
        </w:rPr>
        <w:t xml:space="preserve">on keeping transparency and citizen engagement during Covid-19 was </w:t>
      </w:r>
      <w:r>
        <w:rPr>
          <w:bCs/>
          <w:sz w:val="22"/>
          <w:szCs w:val="22"/>
          <w:lang w:eastAsia="sl-SI"/>
        </w:rPr>
        <w:t>presented</w:t>
      </w:r>
      <w:r>
        <w:rPr>
          <w:sz w:val="22"/>
          <w:szCs w:val="22"/>
          <w:lang w:eastAsia="sl-SI"/>
        </w:rPr>
        <w:t xml:space="preserve"> by Deanna Aubrey, BCOP Resource Team member. </w:t>
      </w:r>
    </w:p>
    <w:p w14:paraId="38900548" w14:textId="0A2D979C" w:rsidR="000C7A48" w:rsidRDefault="006B1A16" w:rsidP="000C7A48">
      <w:pPr>
        <w:jc w:val="both"/>
        <w:rPr>
          <w:bCs/>
          <w:sz w:val="22"/>
          <w:szCs w:val="22"/>
          <w:lang w:eastAsia="sl-SI"/>
        </w:rPr>
      </w:pPr>
      <w:r w:rsidRPr="006B1A16">
        <w:rPr>
          <w:b/>
          <w:sz w:val="22"/>
          <w:szCs w:val="22"/>
        </w:rPr>
        <w:t>Ms. Aubrey explained that GIFT has recently released advice about fiscal transparency in times of the C</w:t>
      </w:r>
      <w:r w:rsidR="00024B9E">
        <w:rPr>
          <w:b/>
          <w:sz w:val="22"/>
          <w:szCs w:val="22"/>
        </w:rPr>
        <w:t>ovid</w:t>
      </w:r>
      <w:r w:rsidRPr="006B1A16">
        <w:rPr>
          <w:b/>
          <w:sz w:val="22"/>
          <w:szCs w:val="22"/>
        </w:rPr>
        <w:t>-19 emergency.</w:t>
      </w:r>
      <w:r>
        <w:rPr>
          <w:b/>
          <w:sz w:val="22"/>
          <w:szCs w:val="22"/>
        </w:rPr>
        <w:t xml:space="preserve"> </w:t>
      </w:r>
      <w:r w:rsidRPr="006B1A16">
        <w:rPr>
          <w:bCs/>
          <w:sz w:val="22"/>
          <w:szCs w:val="22"/>
          <w:lang w:eastAsia="sl-SI"/>
        </w:rPr>
        <w:t xml:space="preserve">They stressed these times call for critical roles of international financing institutions, </w:t>
      </w:r>
      <w:r w:rsidR="000C7A48">
        <w:rPr>
          <w:bCs/>
          <w:sz w:val="22"/>
          <w:szCs w:val="22"/>
          <w:lang w:eastAsia="sl-SI"/>
        </w:rPr>
        <w:t>M</w:t>
      </w:r>
      <w:r w:rsidRPr="006B1A16">
        <w:rPr>
          <w:bCs/>
          <w:sz w:val="22"/>
          <w:szCs w:val="22"/>
          <w:lang w:eastAsia="sl-SI"/>
        </w:rPr>
        <w:t xml:space="preserve">inistries of </w:t>
      </w:r>
      <w:r w:rsidR="000C7A48">
        <w:rPr>
          <w:bCs/>
          <w:sz w:val="22"/>
          <w:szCs w:val="22"/>
          <w:lang w:eastAsia="sl-SI"/>
        </w:rPr>
        <w:t>F</w:t>
      </w:r>
      <w:r w:rsidRPr="006B1A16">
        <w:rPr>
          <w:bCs/>
          <w:sz w:val="22"/>
          <w:szCs w:val="22"/>
          <w:lang w:eastAsia="sl-SI"/>
        </w:rPr>
        <w:t>inance, and civil society organizations.</w:t>
      </w:r>
      <w:r>
        <w:rPr>
          <w:b/>
          <w:sz w:val="22"/>
          <w:szCs w:val="22"/>
        </w:rPr>
        <w:t xml:space="preserve"> </w:t>
      </w:r>
      <w:r w:rsidRPr="006B1A16">
        <w:rPr>
          <w:bCs/>
          <w:sz w:val="22"/>
          <w:szCs w:val="22"/>
          <w:lang w:eastAsia="sl-SI"/>
        </w:rPr>
        <w:t>Fiscal transparency in emergency situations is complex and difficult given the need to make rapid decisions on different aspects of public finances. However, decision-making and approval related to fiscal and budgetary efforts needs to be as transparent as possible.</w:t>
      </w:r>
      <w:r>
        <w:rPr>
          <w:b/>
          <w:sz w:val="22"/>
          <w:szCs w:val="22"/>
        </w:rPr>
        <w:t xml:space="preserve"> </w:t>
      </w:r>
      <w:r w:rsidRPr="006B1A16">
        <w:rPr>
          <w:bCs/>
          <w:sz w:val="22"/>
          <w:szCs w:val="22"/>
          <w:lang w:eastAsia="sl-SI"/>
        </w:rPr>
        <w:t xml:space="preserve">IMF also noted in recent advice that greater intervention by the government is justified in </w:t>
      </w:r>
      <w:r w:rsidR="00400AAA">
        <w:rPr>
          <w:bCs/>
          <w:sz w:val="22"/>
          <w:szCs w:val="22"/>
          <w:lang w:eastAsia="sl-SI"/>
        </w:rPr>
        <w:t xml:space="preserve">such </w:t>
      </w:r>
      <w:r w:rsidRPr="006B1A16">
        <w:rPr>
          <w:bCs/>
          <w:sz w:val="22"/>
          <w:szCs w:val="22"/>
          <w:lang w:eastAsia="sl-SI"/>
        </w:rPr>
        <w:t>emergency situation</w:t>
      </w:r>
      <w:r w:rsidR="00400AAA">
        <w:rPr>
          <w:bCs/>
          <w:sz w:val="22"/>
          <w:szCs w:val="22"/>
          <w:lang w:eastAsia="sl-SI"/>
        </w:rPr>
        <w:t>s</w:t>
      </w:r>
      <w:r w:rsidRPr="006B1A16">
        <w:rPr>
          <w:bCs/>
          <w:sz w:val="22"/>
          <w:szCs w:val="22"/>
          <w:lang w:eastAsia="sl-SI"/>
        </w:rPr>
        <w:t xml:space="preserve"> for as long as the C</w:t>
      </w:r>
      <w:r w:rsidR="00024B9E">
        <w:rPr>
          <w:bCs/>
          <w:sz w:val="22"/>
          <w:szCs w:val="22"/>
          <w:lang w:eastAsia="sl-SI"/>
        </w:rPr>
        <w:t>ovid</w:t>
      </w:r>
      <w:r w:rsidRPr="006B1A16">
        <w:rPr>
          <w:bCs/>
          <w:sz w:val="22"/>
          <w:szCs w:val="22"/>
          <w:lang w:eastAsia="sl-SI"/>
        </w:rPr>
        <w:t xml:space="preserve">-19 crisis continues but must be provided in a transparent manner and with clear sunset clauses. </w:t>
      </w:r>
      <w:r w:rsidR="000C7A48">
        <w:rPr>
          <w:bCs/>
          <w:sz w:val="22"/>
          <w:szCs w:val="22"/>
          <w:lang w:eastAsia="sl-SI"/>
        </w:rPr>
        <w:t>S</w:t>
      </w:r>
      <w:r w:rsidRPr="000C7A48">
        <w:rPr>
          <w:bCs/>
          <w:sz w:val="22"/>
          <w:szCs w:val="22"/>
          <w:lang w:eastAsia="sl-SI"/>
        </w:rPr>
        <w:t>pecific recommendations from GIFT are</w:t>
      </w:r>
      <w:r w:rsidR="000C7A48">
        <w:rPr>
          <w:bCs/>
          <w:sz w:val="22"/>
          <w:szCs w:val="22"/>
          <w:lang w:eastAsia="sl-SI"/>
        </w:rPr>
        <w:t xml:space="preserve"> to d</w:t>
      </w:r>
      <w:r w:rsidRPr="000C7A48">
        <w:rPr>
          <w:bCs/>
          <w:sz w:val="22"/>
          <w:szCs w:val="22"/>
          <w:lang w:eastAsia="sl-SI"/>
        </w:rPr>
        <w:t>etermine who needs the information (e</w:t>
      </w:r>
      <w:r w:rsidR="000C7A48">
        <w:rPr>
          <w:bCs/>
          <w:sz w:val="22"/>
          <w:szCs w:val="22"/>
          <w:lang w:eastAsia="sl-SI"/>
        </w:rPr>
        <w:t>.</w:t>
      </w:r>
      <w:r w:rsidRPr="000C7A48">
        <w:rPr>
          <w:bCs/>
          <w:sz w:val="22"/>
          <w:szCs w:val="22"/>
          <w:lang w:eastAsia="sl-SI"/>
        </w:rPr>
        <w:t>g</w:t>
      </w:r>
      <w:r w:rsidR="000C7A48">
        <w:rPr>
          <w:bCs/>
          <w:sz w:val="22"/>
          <w:szCs w:val="22"/>
          <w:lang w:eastAsia="sl-SI"/>
        </w:rPr>
        <w:t>.</w:t>
      </w:r>
      <w:r w:rsidRPr="000C7A48">
        <w:rPr>
          <w:bCs/>
          <w:sz w:val="22"/>
          <w:szCs w:val="22"/>
          <w:lang w:eastAsia="sl-SI"/>
        </w:rPr>
        <w:t xml:space="preserve"> internal to government required for decision-making, or external, e</w:t>
      </w:r>
      <w:r w:rsidR="000C7A48">
        <w:rPr>
          <w:bCs/>
          <w:sz w:val="22"/>
          <w:szCs w:val="22"/>
          <w:lang w:eastAsia="sl-SI"/>
        </w:rPr>
        <w:t>.</w:t>
      </w:r>
      <w:r w:rsidRPr="000C7A48">
        <w:rPr>
          <w:bCs/>
          <w:sz w:val="22"/>
          <w:szCs w:val="22"/>
          <w:lang w:eastAsia="sl-SI"/>
        </w:rPr>
        <w:t>g</w:t>
      </w:r>
      <w:r w:rsidR="000C7A48">
        <w:rPr>
          <w:bCs/>
          <w:sz w:val="22"/>
          <w:szCs w:val="22"/>
          <w:lang w:eastAsia="sl-SI"/>
        </w:rPr>
        <w:t>.</w:t>
      </w:r>
      <w:r w:rsidRPr="000C7A48">
        <w:rPr>
          <w:bCs/>
          <w:sz w:val="22"/>
          <w:szCs w:val="22"/>
          <w:lang w:eastAsia="sl-SI"/>
        </w:rPr>
        <w:t>, individuals, families, businesses, investors, credit agencies, CSOs, audit institutions)</w:t>
      </w:r>
      <w:r w:rsidR="000C7A48">
        <w:rPr>
          <w:bCs/>
          <w:sz w:val="22"/>
          <w:szCs w:val="22"/>
          <w:lang w:eastAsia="sl-SI"/>
        </w:rPr>
        <w:t xml:space="preserve"> and to determine </w:t>
      </w:r>
      <w:r w:rsidRPr="000C7A48">
        <w:rPr>
          <w:bCs/>
          <w:sz w:val="22"/>
          <w:szCs w:val="22"/>
          <w:lang w:eastAsia="sl-SI"/>
        </w:rPr>
        <w:t>what information is needed.</w:t>
      </w:r>
    </w:p>
    <w:p w14:paraId="43544A65" w14:textId="13B6D338" w:rsidR="000C7A48" w:rsidRDefault="000C7A48" w:rsidP="000C7A48">
      <w:pPr>
        <w:jc w:val="both"/>
        <w:rPr>
          <w:bCs/>
          <w:sz w:val="22"/>
          <w:szCs w:val="22"/>
          <w:lang w:eastAsia="sl-SI"/>
        </w:rPr>
      </w:pPr>
    </w:p>
    <w:p w14:paraId="3849BE9E" w14:textId="213E588C" w:rsidR="000C7A48" w:rsidRPr="000C7A48" w:rsidRDefault="000C7A48" w:rsidP="000C7A48">
      <w:pPr>
        <w:jc w:val="both"/>
        <w:rPr>
          <w:bCs/>
          <w:sz w:val="22"/>
          <w:szCs w:val="22"/>
          <w:lang w:eastAsia="sl-SI"/>
        </w:rPr>
      </w:pPr>
      <w:r w:rsidRPr="000C7A48">
        <w:rPr>
          <w:b/>
          <w:sz w:val="22"/>
          <w:szCs w:val="22"/>
          <w:lang w:eastAsia="sl-SI"/>
        </w:rPr>
        <w:t>GIFT provides examples of three types of information that Ministries of Finance may want to consider sharing on their fiscal transparency portals or other dedicated website</w:t>
      </w:r>
      <w:r w:rsidR="00CC4118">
        <w:rPr>
          <w:b/>
          <w:sz w:val="22"/>
          <w:szCs w:val="22"/>
          <w:lang w:eastAsia="sl-SI"/>
        </w:rPr>
        <w:t>s</w:t>
      </w:r>
      <w:r w:rsidRPr="000C7A48">
        <w:rPr>
          <w:b/>
          <w:sz w:val="22"/>
          <w:szCs w:val="22"/>
          <w:lang w:eastAsia="sl-SI"/>
        </w:rPr>
        <w:t xml:space="preserve"> established to outline emergency responses</w:t>
      </w:r>
      <w:r w:rsidRPr="000C7A48">
        <w:rPr>
          <w:bCs/>
          <w:sz w:val="22"/>
          <w:szCs w:val="22"/>
          <w:lang w:eastAsia="sl-SI"/>
        </w:rPr>
        <w:t>.</w:t>
      </w:r>
      <w:r>
        <w:rPr>
          <w:bCs/>
          <w:sz w:val="22"/>
          <w:szCs w:val="22"/>
          <w:lang w:eastAsia="sl-SI"/>
        </w:rPr>
        <w:t xml:space="preserve"> </w:t>
      </w:r>
      <w:r w:rsidRPr="000C7A48">
        <w:rPr>
          <w:sz w:val="22"/>
          <w:szCs w:val="22"/>
          <w:lang w:eastAsia="sl-SI"/>
        </w:rPr>
        <w:t xml:space="preserve">Firstly, transparency is needed in </w:t>
      </w:r>
      <w:r w:rsidR="00CC4118">
        <w:rPr>
          <w:sz w:val="22"/>
          <w:szCs w:val="22"/>
          <w:lang w:eastAsia="sl-SI"/>
        </w:rPr>
        <w:t>inf</w:t>
      </w:r>
      <w:r w:rsidR="00400AAA">
        <w:rPr>
          <w:sz w:val="22"/>
          <w:szCs w:val="22"/>
          <w:lang w:eastAsia="sl-SI"/>
        </w:rPr>
        <w:t>o</w:t>
      </w:r>
      <w:r w:rsidR="00CC4118">
        <w:rPr>
          <w:sz w:val="22"/>
          <w:szCs w:val="22"/>
          <w:lang w:eastAsia="sl-SI"/>
        </w:rPr>
        <w:t xml:space="preserve">rming </w:t>
      </w:r>
      <w:r w:rsidRPr="000C7A48">
        <w:rPr>
          <w:sz w:val="22"/>
          <w:szCs w:val="22"/>
          <w:lang w:eastAsia="sl-SI"/>
        </w:rPr>
        <w:t>what budget reallocations and reprioritization have or will be done.</w:t>
      </w:r>
      <w:r w:rsidRPr="000C7A48">
        <w:rPr>
          <w:b/>
          <w:bCs/>
          <w:sz w:val="22"/>
          <w:szCs w:val="22"/>
          <w:lang w:eastAsia="sl-SI"/>
        </w:rPr>
        <w:t xml:space="preserve">  </w:t>
      </w:r>
      <w:r w:rsidRPr="000C7A48">
        <w:rPr>
          <w:bCs/>
          <w:sz w:val="22"/>
          <w:szCs w:val="22"/>
          <w:lang w:eastAsia="sl-SI"/>
        </w:rPr>
        <w:t>For example</w:t>
      </w:r>
      <w:r>
        <w:rPr>
          <w:bCs/>
          <w:sz w:val="22"/>
          <w:szCs w:val="22"/>
          <w:lang w:eastAsia="sl-SI"/>
        </w:rPr>
        <w:t>,</w:t>
      </w:r>
      <w:r w:rsidRPr="000C7A48">
        <w:rPr>
          <w:bCs/>
          <w:sz w:val="22"/>
          <w:szCs w:val="22"/>
          <w:lang w:eastAsia="sl-SI"/>
        </w:rPr>
        <w:t xml:space="preserve"> what source of funds are being accessed such as </w:t>
      </w:r>
      <w:r w:rsidRPr="000C7A48">
        <w:rPr>
          <w:bCs/>
          <w:sz w:val="22"/>
          <w:szCs w:val="22"/>
          <w:lang w:eastAsia="sl-SI"/>
        </w:rPr>
        <w:lastRenderedPageBreak/>
        <w:t>contingency funds, transfers from other programs, or program reallocations. To support transparency and accountability, supplementary appropriations should outline these budget reallocations and repriori</w:t>
      </w:r>
      <w:r>
        <w:rPr>
          <w:bCs/>
          <w:sz w:val="22"/>
          <w:szCs w:val="22"/>
          <w:lang w:eastAsia="sl-SI"/>
        </w:rPr>
        <w:t>tiz</w:t>
      </w:r>
      <w:r w:rsidRPr="000C7A48">
        <w:rPr>
          <w:bCs/>
          <w:sz w:val="22"/>
          <w:szCs w:val="22"/>
          <w:lang w:eastAsia="sl-SI"/>
        </w:rPr>
        <w:t xml:space="preserve">ations and GIFT cites an example from USA of the ‘Proposed Coronavirus Preparedness and Response Supplemental Appropriations Act 2020’ as a good example. </w:t>
      </w:r>
      <w:r w:rsidRPr="000C7A48">
        <w:rPr>
          <w:sz w:val="22"/>
          <w:szCs w:val="22"/>
          <w:lang w:eastAsia="sl-SI"/>
        </w:rPr>
        <w:t>Secondly</w:t>
      </w:r>
      <w:r w:rsidRPr="00CC4118">
        <w:rPr>
          <w:sz w:val="22"/>
          <w:szCs w:val="22"/>
          <w:lang w:eastAsia="sl-SI"/>
        </w:rPr>
        <w:t>,</w:t>
      </w:r>
      <w:r w:rsidRPr="000C7A48">
        <w:rPr>
          <w:sz w:val="22"/>
          <w:szCs w:val="22"/>
          <w:lang w:eastAsia="sl-SI"/>
        </w:rPr>
        <w:t xml:space="preserve"> transparency is needed in what countercyclical and other measures are being adopted to </w:t>
      </w:r>
      <w:r w:rsidR="00CC4118">
        <w:rPr>
          <w:sz w:val="22"/>
          <w:szCs w:val="22"/>
          <w:lang w:eastAsia="sl-SI"/>
        </w:rPr>
        <w:t xml:space="preserve">retain and </w:t>
      </w:r>
      <w:r w:rsidRPr="000C7A48">
        <w:rPr>
          <w:sz w:val="22"/>
          <w:szCs w:val="22"/>
          <w:lang w:eastAsia="sl-SI"/>
        </w:rPr>
        <w:t>reactivate econom</w:t>
      </w:r>
      <w:r w:rsidR="00CC4118">
        <w:rPr>
          <w:sz w:val="22"/>
          <w:szCs w:val="22"/>
          <w:lang w:eastAsia="sl-SI"/>
        </w:rPr>
        <w:t>ic activity</w:t>
      </w:r>
      <w:r w:rsidRPr="000C7A48">
        <w:rPr>
          <w:sz w:val="22"/>
          <w:szCs w:val="22"/>
          <w:lang w:eastAsia="sl-SI"/>
        </w:rPr>
        <w:t>.</w:t>
      </w:r>
      <w:r w:rsidRPr="00CC4118">
        <w:rPr>
          <w:sz w:val="22"/>
          <w:szCs w:val="22"/>
          <w:lang w:eastAsia="sl-SI"/>
        </w:rPr>
        <w:t xml:space="preserve"> </w:t>
      </w:r>
      <w:r w:rsidRPr="000C7A48">
        <w:rPr>
          <w:bCs/>
          <w:sz w:val="22"/>
          <w:szCs w:val="22"/>
          <w:lang w:eastAsia="sl-SI"/>
        </w:rPr>
        <w:t xml:space="preserve">GIFT cites the Canadian </w:t>
      </w:r>
      <w:r w:rsidR="00CC4118">
        <w:rPr>
          <w:bCs/>
          <w:sz w:val="22"/>
          <w:szCs w:val="22"/>
          <w:lang w:eastAsia="sl-SI"/>
        </w:rPr>
        <w:t>G</w:t>
      </w:r>
      <w:r w:rsidRPr="000C7A48">
        <w:rPr>
          <w:bCs/>
          <w:sz w:val="22"/>
          <w:szCs w:val="22"/>
          <w:lang w:eastAsia="sl-SI"/>
        </w:rPr>
        <w:t>overnment</w:t>
      </w:r>
      <w:r w:rsidR="00CC4118">
        <w:rPr>
          <w:bCs/>
          <w:sz w:val="22"/>
          <w:szCs w:val="22"/>
          <w:lang w:eastAsia="sl-SI"/>
        </w:rPr>
        <w:t>,</w:t>
      </w:r>
      <w:r w:rsidRPr="000C7A48">
        <w:rPr>
          <w:bCs/>
          <w:sz w:val="22"/>
          <w:szCs w:val="22"/>
          <w:lang w:eastAsia="sl-SI"/>
        </w:rPr>
        <w:t xml:space="preserve"> wh</w:t>
      </w:r>
      <w:r w:rsidR="00CC4118">
        <w:rPr>
          <w:bCs/>
          <w:sz w:val="22"/>
          <w:szCs w:val="22"/>
          <w:lang w:eastAsia="sl-SI"/>
        </w:rPr>
        <w:t>ich</w:t>
      </w:r>
      <w:r w:rsidRPr="000C7A48">
        <w:rPr>
          <w:bCs/>
          <w:sz w:val="22"/>
          <w:szCs w:val="22"/>
          <w:lang w:eastAsia="sl-SI"/>
        </w:rPr>
        <w:t xml:space="preserve"> has announced a C</w:t>
      </w:r>
      <w:r w:rsidR="00CC4118">
        <w:rPr>
          <w:bCs/>
          <w:sz w:val="22"/>
          <w:szCs w:val="22"/>
          <w:lang w:eastAsia="sl-SI"/>
        </w:rPr>
        <w:t>ovid</w:t>
      </w:r>
      <w:r w:rsidRPr="000C7A48">
        <w:rPr>
          <w:bCs/>
          <w:sz w:val="22"/>
          <w:szCs w:val="22"/>
          <w:lang w:eastAsia="sl-SI"/>
        </w:rPr>
        <w:t xml:space="preserve">-19 economic response plan.  GIFT also cites </w:t>
      </w:r>
      <w:r>
        <w:rPr>
          <w:bCs/>
          <w:sz w:val="22"/>
          <w:szCs w:val="22"/>
          <w:lang w:eastAsia="sl-SI"/>
        </w:rPr>
        <w:t xml:space="preserve">Ministry of Finance </w:t>
      </w:r>
      <w:r w:rsidRPr="000C7A48">
        <w:rPr>
          <w:bCs/>
          <w:sz w:val="22"/>
          <w:szCs w:val="22"/>
          <w:lang w:eastAsia="sl-SI"/>
        </w:rPr>
        <w:t>of France</w:t>
      </w:r>
      <w:r w:rsidR="00CC4118">
        <w:rPr>
          <w:bCs/>
          <w:sz w:val="22"/>
          <w:szCs w:val="22"/>
          <w:lang w:eastAsia="sl-SI"/>
        </w:rPr>
        <w:t>,</w:t>
      </w:r>
      <w:r w:rsidRPr="000C7A48">
        <w:rPr>
          <w:bCs/>
          <w:sz w:val="22"/>
          <w:szCs w:val="22"/>
          <w:lang w:eastAsia="sl-SI"/>
        </w:rPr>
        <w:t xml:space="preserve"> wh</w:t>
      </w:r>
      <w:r>
        <w:rPr>
          <w:bCs/>
          <w:sz w:val="22"/>
          <w:szCs w:val="22"/>
          <w:lang w:eastAsia="sl-SI"/>
        </w:rPr>
        <w:t>ich</w:t>
      </w:r>
      <w:r w:rsidRPr="000C7A48">
        <w:rPr>
          <w:bCs/>
          <w:sz w:val="22"/>
          <w:szCs w:val="22"/>
          <w:lang w:eastAsia="sl-SI"/>
        </w:rPr>
        <w:t xml:space="preserve"> has </w:t>
      </w:r>
      <w:r w:rsidR="00CC4118">
        <w:rPr>
          <w:bCs/>
          <w:sz w:val="22"/>
          <w:szCs w:val="22"/>
          <w:lang w:eastAsia="sl-SI"/>
        </w:rPr>
        <w:t xml:space="preserve">announced a comprehensive support package, along with information on its impact on public debt.  </w:t>
      </w:r>
      <w:r w:rsidRPr="000C7A48">
        <w:rPr>
          <w:sz w:val="22"/>
          <w:szCs w:val="22"/>
          <w:lang w:eastAsia="sl-SI"/>
        </w:rPr>
        <w:t>Thirdly transparency is needed for the additional financing needs for the emergency and stimulus measures</w:t>
      </w:r>
      <w:r w:rsidRPr="000C7A48">
        <w:rPr>
          <w:bCs/>
          <w:sz w:val="22"/>
          <w:szCs w:val="22"/>
          <w:lang w:eastAsia="sl-SI"/>
        </w:rPr>
        <w:t>.</w:t>
      </w:r>
      <w:r w:rsidR="00CC4118">
        <w:rPr>
          <w:bCs/>
          <w:sz w:val="22"/>
          <w:szCs w:val="22"/>
          <w:lang w:eastAsia="sl-SI"/>
        </w:rPr>
        <w:t xml:space="preserve"> </w:t>
      </w:r>
      <w:r w:rsidRPr="000C7A48">
        <w:rPr>
          <w:bCs/>
          <w:sz w:val="22"/>
          <w:szCs w:val="22"/>
          <w:lang w:eastAsia="sl-SI"/>
        </w:rPr>
        <w:t>GIFT cites the South African government which has announced that donor funds received to assist with the crisis will be paid into a Reconstruction and Development Fund, to support their accountable and transparent use.</w:t>
      </w:r>
      <w:r w:rsidR="00CC4118">
        <w:rPr>
          <w:bCs/>
          <w:sz w:val="22"/>
          <w:szCs w:val="22"/>
          <w:lang w:eastAsia="sl-SI"/>
        </w:rPr>
        <w:t xml:space="preserve"> </w:t>
      </w:r>
      <w:r w:rsidRPr="000C7A48">
        <w:rPr>
          <w:bCs/>
          <w:sz w:val="22"/>
          <w:szCs w:val="22"/>
          <w:lang w:eastAsia="sl-SI"/>
        </w:rPr>
        <w:t xml:space="preserve">GIFT recommends that </w:t>
      </w:r>
      <w:r w:rsidR="00CC4118">
        <w:rPr>
          <w:bCs/>
          <w:sz w:val="22"/>
          <w:szCs w:val="22"/>
          <w:lang w:eastAsia="sl-SI"/>
        </w:rPr>
        <w:t>Ministries of Finance should</w:t>
      </w:r>
      <w:r w:rsidRPr="000C7A48">
        <w:rPr>
          <w:bCs/>
          <w:sz w:val="22"/>
          <w:szCs w:val="22"/>
          <w:lang w:eastAsia="sl-SI"/>
        </w:rPr>
        <w:t xml:space="preserve"> be transparent about the impact on the deficit and how it will be covered.  This includes if any additional debt will be contracted, what are the conditions, term and future implications of this debt.  </w:t>
      </w:r>
    </w:p>
    <w:p w14:paraId="00227929" w14:textId="77777777" w:rsidR="000C7A48" w:rsidRPr="000C7A48" w:rsidRDefault="000C7A48" w:rsidP="000C7A48">
      <w:pPr>
        <w:jc w:val="both"/>
        <w:rPr>
          <w:bCs/>
          <w:sz w:val="22"/>
          <w:szCs w:val="22"/>
          <w:lang w:eastAsia="sl-SI"/>
        </w:rPr>
      </w:pPr>
    </w:p>
    <w:p w14:paraId="4348E28F" w14:textId="13AF60D2" w:rsidR="000C7A48" w:rsidRPr="000C7A48" w:rsidRDefault="000C7A48" w:rsidP="00CC4118">
      <w:pPr>
        <w:jc w:val="both"/>
        <w:rPr>
          <w:bCs/>
          <w:sz w:val="22"/>
          <w:szCs w:val="22"/>
          <w:lang w:eastAsia="sl-SI"/>
        </w:rPr>
      </w:pPr>
      <w:r w:rsidRPr="000C7A48">
        <w:rPr>
          <w:b/>
          <w:sz w:val="22"/>
          <w:szCs w:val="22"/>
          <w:lang w:eastAsia="sl-SI"/>
        </w:rPr>
        <w:t>GIFT</w:t>
      </w:r>
      <w:r w:rsidR="00CC4118" w:rsidRPr="00CC4118">
        <w:rPr>
          <w:b/>
          <w:sz w:val="22"/>
          <w:szCs w:val="22"/>
          <w:lang w:eastAsia="sl-SI"/>
        </w:rPr>
        <w:t xml:space="preserve"> also</w:t>
      </w:r>
      <w:r w:rsidRPr="000C7A48">
        <w:rPr>
          <w:b/>
          <w:sz w:val="22"/>
          <w:szCs w:val="22"/>
          <w:lang w:eastAsia="sl-SI"/>
        </w:rPr>
        <w:t xml:space="preserve"> notes that </w:t>
      </w:r>
      <w:r w:rsidR="00CC4118" w:rsidRPr="00CC4118">
        <w:rPr>
          <w:b/>
          <w:sz w:val="22"/>
          <w:szCs w:val="22"/>
          <w:lang w:eastAsia="sl-SI"/>
        </w:rPr>
        <w:t xml:space="preserve">Ministries of Finance </w:t>
      </w:r>
      <w:r w:rsidRPr="000C7A48">
        <w:rPr>
          <w:b/>
          <w:sz w:val="22"/>
          <w:szCs w:val="22"/>
          <w:lang w:eastAsia="sl-SI"/>
        </w:rPr>
        <w:t xml:space="preserve">will face challenges in consolidating the data </w:t>
      </w:r>
      <w:r w:rsidR="00CC4118">
        <w:rPr>
          <w:b/>
          <w:sz w:val="22"/>
          <w:szCs w:val="22"/>
          <w:lang w:eastAsia="sl-SI"/>
        </w:rPr>
        <w:t xml:space="preserve">that are made public </w:t>
      </w:r>
      <w:r w:rsidRPr="000C7A48">
        <w:rPr>
          <w:b/>
          <w:sz w:val="22"/>
          <w:szCs w:val="22"/>
          <w:lang w:eastAsia="sl-SI"/>
        </w:rPr>
        <w:t>and ensuring it</w:t>
      </w:r>
      <w:r w:rsidR="00400AAA">
        <w:rPr>
          <w:b/>
          <w:sz w:val="22"/>
          <w:szCs w:val="22"/>
          <w:lang w:eastAsia="sl-SI"/>
        </w:rPr>
        <w:t xml:space="preserve"> is </w:t>
      </w:r>
      <w:r w:rsidRPr="000C7A48">
        <w:rPr>
          <w:b/>
          <w:sz w:val="22"/>
          <w:szCs w:val="22"/>
          <w:lang w:eastAsia="sl-SI"/>
        </w:rPr>
        <w:t>regular</w:t>
      </w:r>
      <w:r w:rsidR="00400AAA">
        <w:rPr>
          <w:b/>
          <w:sz w:val="22"/>
          <w:szCs w:val="22"/>
          <w:lang w:eastAsia="sl-SI"/>
        </w:rPr>
        <w:t>ly</w:t>
      </w:r>
      <w:r w:rsidRPr="000C7A48">
        <w:rPr>
          <w:b/>
          <w:sz w:val="22"/>
          <w:szCs w:val="22"/>
          <w:lang w:eastAsia="sl-SI"/>
        </w:rPr>
        <w:t xml:space="preserve"> update</w:t>
      </w:r>
      <w:r w:rsidR="00400AAA">
        <w:rPr>
          <w:b/>
          <w:sz w:val="22"/>
          <w:szCs w:val="22"/>
          <w:lang w:eastAsia="sl-SI"/>
        </w:rPr>
        <w:t>d</w:t>
      </w:r>
      <w:r w:rsidR="00CC4118" w:rsidRPr="00CC4118">
        <w:rPr>
          <w:b/>
          <w:sz w:val="22"/>
          <w:szCs w:val="22"/>
          <w:lang w:eastAsia="sl-SI"/>
        </w:rPr>
        <w:t>.</w:t>
      </w:r>
      <w:r w:rsidR="00CC4118" w:rsidRPr="00CC4118">
        <w:rPr>
          <w:bCs/>
          <w:sz w:val="22"/>
          <w:szCs w:val="22"/>
          <w:lang w:eastAsia="sl-SI"/>
        </w:rPr>
        <w:t xml:space="preserve"> I</w:t>
      </w:r>
      <w:r w:rsidRPr="000C7A48">
        <w:rPr>
          <w:bCs/>
          <w:sz w:val="22"/>
          <w:szCs w:val="22"/>
          <w:lang w:eastAsia="sl-SI"/>
        </w:rPr>
        <w:t>t is important</w:t>
      </w:r>
      <w:r w:rsidR="00CC4118" w:rsidRPr="00CC4118">
        <w:rPr>
          <w:bCs/>
          <w:sz w:val="22"/>
          <w:szCs w:val="22"/>
          <w:lang w:eastAsia="sl-SI"/>
        </w:rPr>
        <w:t xml:space="preserve"> </w:t>
      </w:r>
      <w:r w:rsidRPr="000C7A48">
        <w:rPr>
          <w:bCs/>
          <w:sz w:val="22"/>
          <w:szCs w:val="22"/>
          <w:lang w:eastAsia="sl-SI"/>
        </w:rPr>
        <w:t>to identify the objectives of providing the information</w:t>
      </w:r>
      <w:r w:rsidR="00CC4118" w:rsidRPr="00CC4118">
        <w:rPr>
          <w:bCs/>
          <w:sz w:val="22"/>
          <w:szCs w:val="22"/>
          <w:lang w:eastAsia="sl-SI"/>
        </w:rPr>
        <w:t xml:space="preserve"> and </w:t>
      </w:r>
      <w:r w:rsidRPr="000C7A48">
        <w:rPr>
          <w:bCs/>
          <w:sz w:val="22"/>
          <w:szCs w:val="22"/>
          <w:lang w:eastAsia="sl-SI"/>
        </w:rPr>
        <w:t>to define the different audiences and prioritize the information.</w:t>
      </w:r>
      <w:r w:rsidR="00CD5B18">
        <w:rPr>
          <w:bCs/>
          <w:sz w:val="22"/>
          <w:szCs w:val="22"/>
          <w:lang w:eastAsia="sl-SI"/>
        </w:rPr>
        <w:t xml:space="preserve"> </w:t>
      </w:r>
      <w:r w:rsidR="00CD5B18" w:rsidRPr="00CC4118">
        <w:rPr>
          <w:bCs/>
          <w:sz w:val="22"/>
          <w:szCs w:val="22"/>
        </w:rPr>
        <w:t>GIFT has a series of webinars and resources on its website to guide</w:t>
      </w:r>
      <w:r w:rsidR="00CD5B18" w:rsidRPr="00CD5B18">
        <w:rPr>
          <w:bCs/>
          <w:sz w:val="22"/>
          <w:szCs w:val="22"/>
        </w:rPr>
        <w:t xml:space="preserve"> fiscal</w:t>
      </w:r>
      <w:r w:rsidR="00CD5B18" w:rsidRPr="00CC4118">
        <w:rPr>
          <w:bCs/>
          <w:sz w:val="22"/>
          <w:szCs w:val="22"/>
        </w:rPr>
        <w:t xml:space="preserve"> transparency and engagement efforts</w:t>
      </w:r>
      <w:r w:rsidR="00400AAA">
        <w:rPr>
          <w:bCs/>
          <w:sz w:val="22"/>
          <w:szCs w:val="22"/>
        </w:rPr>
        <w:t xml:space="preserve"> in this area</w:t>
      </w:r>
      <w:r w:rsidR="00AE22F0">
        <w:rPr>
          <w:bCs/>
          <w:sz w:val="22"/>
          <w:szCs w:val="22"/>
        </w:rPr>
        <w:t>, and links have been provided</w:t>
      </w:r>
      <w:r w:rsidR="00CF691E">
        <w:rPr>
          <w:bCs/>
          <w:sz w:val="22"/>
          <w:szCs w:val="22"/>
        </w:rPr>
        <w:t xml:space="preserve"> throughout the presentation of</w:t>
      </w:r>
      <w:r w:rsidR="00AE22F0">
        <w:rPr>
          <w:bCs/>
          <w:sz w:val="22"/>
          <w:szCs w:val="22"/>
        </w:rPr>
        <w:t xml:space="preserve"> examples of good practice</w:t>
      </w:r>
      <w:r w:rsidR="00CF691E">
        <w:rPr>
          <w:bCs/>
          <w:sz w:val="22"/>
          <w:szCs w:val="22"/>
        </w:rPr>
        <w:t>.</w:t>
      </w:r>
    </w:p>
    <w:p w14:paraId="67D1CC9B" w14:textId="77777777" w:rsidR="000C7A48" w:rsidRPr="006B1A16" w:rsidRDefault="000C7A48" w:rsidP="000C7A48">
      <w:pPr>
        <w:jc w:val="both"/>
        <w:rPr>
          <w:bCs/>
          <w:sz w:val="22"/>
          <w:szCs w:val="22"/>
          <w:lang w:eastAsia="sl-SI"/>
        </w:rPr>
      </w:pPr>
    </w:p>
    <w:p w14:paraId="141DAC08" w14:textId="0B36B6C2" w:rsidR="00CC4118" w:rsidRPr="00CC4118" w:rsidRDefault="009877CF" w:rsidP="00CC4118">
      <w:pPr>
        <w:spacing w:afterLines="80" w:after="192"/>
        <w:jc w:val="both"/>
        <w:rPr>
          <w:bCs/>
          <w:sz w:val="22"/>
          <w:szCs w:val="22"/>
        </w:rPr>
      </w:pPr>
      <w:proofErr w:type="gramStart"/>
      <w:r w:rsidRPr="00CC4118">
        <w:rPr>
          <w:b/>
          <w:sz w:val="22"/>
          <w:szCs w:val="22"/>
        </w:rPr>
        <w:t>In regard</w:t>
      </w:r>
      <w:r w:rsidR="00400AAA">
        <w:rPr>
          <w:b/>
          <w:sz w:val="22"/>
          <w:szCs w:val="22"/>
        </w:rPr>
        <w:t>s</w:t>
      </w:r>
      <w:r w:rsidRPr="00CC4118">
        <w:rPr>
          <w:b/>
          <w:sz w:val="22"/>
          <w:szCs w:val="22"/>
        </w:rPr>
        <w:t xml:space="preserve"> to</w:t>
      </w:r>
      <w:proofErr w:type="gramEnd"/>
      <w:r>
        <w:rPr>
          <w:b/>
          <w:sz w:val="22"/>
          <w:szCs w:val="22"/>
        </w:rPr>
        <w:t xml:space="preserve"> </w:t>
      </w:r>
      <w:r w:rsidR="00CC4118" w:rsidRPr="00CC4118">
        <w:rPr>
          <w:b/>
          <w:sz w:val="22"/>
          <w:szCs w:val="22"/>
        </w:rPr>
        <w:t>citizen engagement, GIFT notes it is difficult in this time of social distancing</w:t>
      </w:r>
      <w:r w:rsidR="006D74D3">
        <w:rPr>
          <w:b/>
          <w:sz w:val="22"/>
          <w:szCs w:val="22"/>
        </w:rPr>
        <w:t xml:space="preserve"> but it recommends engaging academia and CSOs in the design of policy responses, and to keep citizens informed through innovative ways</w:t>
      </w:r>
      <w:r w:rsidR="00CC4118" w:rsidRPr="00CC4118">
        <w:rPr>
          <w:b/>
          <w:sz w:val="22"/>
          <w:szCs w:val="22"/>
        </w:rPr>
        <w:t>.</w:t>
      </w:r>
      <w:r>
        <w:rPr>
          <w:b/>
          <w:sz w:val="22"/>
          <w:szCs w:val="22"/>
        </w:rPr>
        <w:t xml:space="preserve"> </w:t>
      </w:r>
      <w:r w:rsidR="006D74D3" w:rsidRPr="00806977">
        <w:rPr>
          <w:sz w:val="22"/>
          <w:szCs w:val="22"/>
        </w:rPr>
        <w:t>GIFT</w:t>
      </w:r>
      <w:r w:rsidR="006D74D3">
        <w:rPr>
          <w:b/>
          <w:sz w:val="22"/>
          <w:szCs w:val="22"/>
        </w:rPr>
        <w:t xml:space="preserve"> </w:t>
      </w:r>
      <w:r w:rsidR="00CC4118" w:rsidRPr="00CC4118">
        <w:rPr>
          <w:bCs/>
          <w:sz w:val="22"/>
          <w:szCs w:val="22"/>
        </w:rPr>
        <w:t>recommends a mix of formal and informal approaches</w:t>
      </w:r>
      <w:r>
        <w:rPr>
          <w:bCs/>
          <w:sz w:val="22"/>
          <w:szCs w:val="22"/>
        </w:rPr>
        <w:t xml:space="preserve"> to keep citizen engagement</w:t>
      </w:r>
      <w:r w:rsidR="00CC4118" w:rsidRPr="00CC4118">
        <w:rPr>
          <w:bCs/>
          <w:sz w:val="22"/>
          <w:szCs w:val="22"/>
        </w:rPr>
        <w:t xml:space="preserve"> according to the stages of the emergency and post-emergency response.</w:t>
      </w:r>
      <w:r>
        <w:rPr>
          <w:bCs/>
          <w:sz w:val="22"/>
          <w:szCs w:val="22"/>
        </w:rPr>
        <w:t xml:space="preserve"> One example is</w:t>
      </w:r>
      <w:r w:rsidR="00CC4118" w:rsidRPr="00CC4118">
        <w:rPr>
          <w:bCs/>
          <w:sz w:val="22"/>
          <w:szCs w:val="22"/>
        </w:rPr>
        <w:t xml:space="preserve"> using open data and mapping as recommended by the World Bank to engage health sector professionals and management to identify where redistribution of health resources </w:t>
      </w:r>
      <w:r>
        <w:rPr>
          <w:bCs/>
          <w:sz w:val="22"/>
          <w:szCs w:val="22"/>
        </w:rPr>
        <w:t>is</w:t>
      </w:r>
      <w:r w:rsidR="00CC4118" w:rsidRPr="00CC4118">
        <w:rPr>
          <w:bCs/>
          <w:sz w:val="22"/>
          <w:szCs w:val="22"/>
        </w:rPr>
        <w:t xml:space="preserve"> required across different geographical locations. Other examples include </w:t>
      </w:r>
      <w:r>
        <w:rPr>
          <w:bCs/>
          <w:sz w:val="22"/>
          <w:szCs w:val="22"/>
        </w:rPr>
        <w:t xml:space="preserve">engagement of </w:t>
      </w:r>
      <w:r w:rsidR="00CC4118" w:rsidRPr="00CC4118">
        <w:rPr>
          <w:bCs/>
          <w:sz w:val="22"/>
          <w:szCs w:val="22"/>
        </w:rPr>
        <w:t>academia and specialized organizations, wh</w:t>
      </w:r>
      <w:r>
        <w:rPr>
          <w:bCs/>
          <w:sz w:val="22"/>
          <w:szCs w:val="22"/>
        </w:rPr>
        <w:t>ich</w:t>
      </w:r>
      <w:r w:rsidR="00CC4118" w:rsidRPr="00CC4118">
        <w:rPr>
          <w:bCs/>
          <w:sz w:val="22"/>
          <w:szCs w:val="22"/>
        </w:rPr>
        <w:t xml:space="preserve"> could help model the repercussions of different budget reallocation scenarios and their implication for financial stability and sustainable development.</w:t>
      </w:r>
      <w:r w:rsidR="00CD5B18">
        <w:rPr>
          <w:bCs/>
          <w:sz w:val="22"/>
          <w:szCs w:val="22"/>
        </w:rPr>
        <w:t xml:space="preserve"> </w:t>
      </w:r>
      <w:r w:rsidR="00CC4118" w:rsidRPr="00CC4118">
        <w:rPr>
          <w:bCs/>
          <w:sz w:val="22"/>
          <w:szCs w:val="22"/>
        </w:rPr>
        <w:t>Civil society and academia could also provide important insights into designing tax relief and stimulus measures including focusing on impacts on marginalized groups (GIFT provides an example from the Budget Justice Coalition of South Africa).</w:t>
      </w:r>
      <w:r w:rsidR="00CD5B18">
        <w:rPr>
          <w:bCs/>
          <w:sz w:val="22"/>
          <w:szCs w:val="22"/>
        </w:rPr>
        <w:t xml:space="preserve"> Many </w:t>
      </w:r>
      <w:r w:rsidR="00CC4118" w:rsidRPr="00CC4118">
        <w:rPr>
          <w:bCs/>
          <w:sz w:val="22"/>
          <w:szCs w:val="22"/>
        </w:rPr>
        <w:t>countries have a dedicated website that collates together all the relevant C</w:t>
      </w:r>
      <w:r w:rsidR="00CD5B18">
        <w:rPr>
          <w:bCs/>
          <w:sz w:val="22"/>
          <w:szCs w:val="22"/>
        </w:rPr>
        <w:t>ovid-19</w:t>
      </w:r>
      <w:r w:rsidR="00CC4118" w:rsidRPr="00CC4118">
        <w:rPr>
          <w:bCs/>
          <w:sz w:val="22"/>
          <w:szCs w:val="22"/>
        </w:rPr>
        <w:t xml:space="preserve"> information for citizens including health advice, fiscal relief packages, and other useful information/links.</w:t>
      </w:r>
      <w:r w:rsidR="00CD5B18">
        <w:rPr>
          <w:bCs/>
          <w:sz w:val="22"/>
          <w:szCs w:val="22"/>
        </w:rPr>
        <w:t xml:space="preserve"> </w:t>
      </w:r>
      <w:r w:rsidR="00CC4118" w:rsidRPr="00CC4118">
        <w:rPr>
          <w:bCs/>
          <w:sz w:val="22"/>
          <w:szCs w:val="22"/>
        </w:rPr>
        <w:t xml:space="preserve">Additional efforts have also been made to keep citizens updated through various interactive platforms: </w:t>
      </w:r>
      <w:r w:rsidR="00CD5B18">
        <w:rPr>
          <w:bCs/>
          <w:sz w:val="22"/>
          <w:szCs w:val="22"/>
        </w:rPr>
        <w:t>p</w:t>
      </w:r>
      <w:r w:rsidR="00CC4118" w:rsidRPr="00CC4118">
        <w:rPr>
          <w:bCs/>
          <w:sz w:val="22"/>
          <w:szCs w:val="22"/>
        </w:rPr>
        <w:t>hone hotlines for individuals, businesses, and families to access relief packages</w:t>
      </w:r>
      <w:r w:rsidR="00CD5B18">
        <w:rPr>
          <w:bCs/>
          <w:sz w:val="22"/>
          <w:szCs w:val="22"/>
        </w:rPr>
        <w:t>; s</w:t>
      </w:r>
      <w:r w:rsidR="00CC4118" w:rsidRPr="00CC4118">
        <w:rPr>
          <w:bCs/>
          <w:sz w:val="22"/>
          <w:szCs w:val="22"/>
        </w:rPr>
        <w:t xml:space="preserve">pecial </w:t>
      </w:r>
      <w:r w:rsidR="00CD5B18">
        <w:rPr>
          <w:bCs/>
          <w:sz w:val="22"/>
          <w:szCs w:val="22"/>
        </w:rPr>
        <w:t xml:space="preserve">mobile </w:t>
      </w:r>
      <w:r w:rsidR="00CC4118" w:rsidRPr="00CC4118">
        <w:rPr>
          <w:bCs/>
          <w:sz w:val="22"/>
          <w:szCs w:val="22"/>
        </w:rPr>
        <w:t>app</w:t>
      </w:r>
      <w:r w:rsidR="00CD5B18">
        <w:rPr>
          <w:bCs/>
          <w:sz w:val="22"/>
          <w:szCs w:val="22"/>
        </w:rPr>
        <w:t>lications; F</w:t>
      </w:r>
      <w:r w:rsidR="00CD5B18" w:rsidRPr="00CC4118">
        <w:rPr>
          <w:bCs/>
          <w:sz w:val="22"/>
          <w:szCs w:val="22"/>
        </w:rPr>
        <w:t>acebook</w:t>
      </w:r>
      <w:r w:rsidR="00CC4118" w:rsidRPr="00CC4118">
        <w:rPr>
          <w:bCs/>
          <w:sz w:val="22"/>
          <w:szCs w:val="22"/>
        </w:rPr>
        <w:t xml:space="preserve"> group sites</w:t>
      </w:r>
      <w:r w:rsidR="00CD5B18">
        <w:rPr>
          <w:bCs/>
          <w:sz w:val="22"/>
          <w:szCs w:val="22"/>
        </w:rPr>
        <w:t>; d</w:t>
      </w:r>
      <w:r w:rsidR="00CC4118" w:rsidRPr="00CC4118">
        <w:rPr>
          <w:bCs/>
          <w:sz w:val="22"/>
          <w:szCs w:val="22"/>
        </w:rPr>
        <w:t>irect texts to mobile phones</w:t>
      </w:r>
      <w:r w:rsidR="00CD5B18">
        <w:rPr>
          <w:bCs/>
          <w:sz w:val="22"/>
          <w:szCs w:val="22"/>
        </w:rPr>
        <w:t>; and l</w:t>
      </w:r>
      <w:r w:rsidR="00CC4118" w:rsidRPr="00CC4118">
        <w:rPr>
          <w:bCs/>
          <w:sz w:val="22"/>
          <w:szCs w:val="22"/>
        </w:rPr>
        <w:t>inks to job sites for people who have lost their jobs.</w:t>
      </w:r>
      <w:r w:rsidR="00CD5B18">
        <w:rPr>
          <w:bCs/>
          <w:sz w:val="22"/>
          <w:szCs w:val="22"/>
        </w:rPr>
        <w:t xml:space="preserve"> </w:t>
      </w:r>
    </w:p>
    <w:p w14:paraId="70845B22" w14:textId="11059051" w:rsidR="006C7DB8" w:rsidRPr="006C7DB8" w:rsidRDefault="00B25262" w:rsidP="00A35244">
      <w:pPr>
        <w:pStyle w:val="Heading1"/>
        <w:numPr>
          <w:ilvl w:val="0"/>
          <w:numId w:val="1"/>
        </w:numPr>
        <w:spacing w:before="0" w:afterLines="80" w:after="192" w:line="240" w:lineRule="auto"/>
        <w:ind w:left="540" w:hanging="450"/>
        <w:rPr>
          <w:rFonts w:ascii="Times New Roman" w:eastAsia="Times New Roman" w:hAnsi="Times New Roman" w:cs="Times New Roman"/>
          <w:b/>
          <w:sz w:val="22"/>
          <w:szCs w:val="22"/>
          <w:lang w:eastAsia="bs-Latn-BA"/>
        </w:rPr>
      </w:pPr>
      <w:bookmarkStart w:id="9" w:name="_Toc38390887"/>
      <w:r w:rsidRPr="002659A3">
        <w:rPr>
          <w:rFonts w:ascii="Times New Roman" w:eastAsia="Times New Roman" w:hAnsi="Times New Roman" w:cs="Times New Roman"/>
          <w:b/>
          <w:sz w:val="22"/>
          <w:szCs w:val="22"/>
          <w:lang w:eastAsia="bs-Latn-BA"/>
        </w:rPr>
        <w:t xml:space="preserve">Roundtable </w:t>
      </w:r>
      <w:r w:rsidR="00E12404">
        <w:rPr>
          <w:rFonts w:ascii="Times New Roman" w:eastAsia="Times New Roman" w:hAnsi="Times New Roman" w:cs="Times New Roman"/>
          <w:b/>
          <w:sz w:val="22"/>
          <w:szCs w:val="22"/>
          <w:lang w:eastAsia="bs-Latn-BA"/>
        </w:rPr>
        <w:t xml:space="preserve">Discussion </w:t>
      </w:r>
      <w:r w:rsidR="00E71C77">
        <w:rPr>
          <w:rFonts w:ascii="Times New Roman" w:eastAsia="Times New Roman" w:hAnsi="Times New Roman" w:cs="Times New Roman"/>
          <w:b/>
          <w:sz w:val="22"/>
          <w:szCs w:val="22"/>
          <w:lang w:eastAsia="bs-Latn-BA"/>
        </w:rPr>
        <w:t>on Budget-Related Response in BCOP Countries</w:t>
      </w:r>
      <w:bookmarkEnd w:id="9"/>
    </w:p>
    <w:p w14:paraId="6EB68449" w14:textId="4D0DDE8F" w:rsidR="006C7DB8" w:rsidRPr="006C7DB8" w:rsidRDefault="006C7DB8" w:rsidP="006C7DB8">
      <w:pPr>
        <w:spacing w:afterLines="80" w:after="192"/>
        <w:jc w:val="both"/>
        <w:rPr>
          <w:bCs/>
          <w:sz w:val="22"/>
          <w:szCs w:val="22"/>
          <w:lang w:eastAsia="sl-SI"/>
        </w:rPr>
      </w:pPr>
      <w:r w:rsidRPr="006C7DB8">
        <w:rPr>
          <w:bCs/>
          <w:sz w:val="22"/>
          <w:szCs w:val="22"/>
          <w:lang w:eastAsia="sl-SI"/>
        </w:rPr>
        <w:t>The core part of this meeting included a round table discussion in which participants from BCOP countries gave remarks on the budget-related measures introduced and planned as a C</w:t>
      </w:r>
      <w:r w:rsidR="00FD0C61">
        <w:rPr>
          <w:bCs/>
          <w:sz w:val="22"/>
          <w:szCs w:val="22"/>
          <w:lang w:eastAsia="sl-SI"/>
        </w:rPr>
        <w:t>ovid</w:t>
      </w:r>
      <w:r w:rsidRPr="006C7DB8">
        <w:rPr>
          <w:bCs/>
          <w:sz w:val="22"/>
          <w:szCs w:val="22"/>
          <w:lang w:eastAsia="sl-SI"/>
        </w:rPr>
        <w:t>-19 response in their countries and on the measures introduced and planned to reorganize the business processes in the Ministries of Finance and budgeting departments. Key challenges, risks, and opportunities were also discussed.</w:t>
      </w:r>
      <w:r>
        <w:rPr>
          <w:bCs/>
          <w:sz w:val="22"/>
          <w:szCs w:val="22"/>
          <w:lang w:eastAsia="sl-SI"/>
        </w:rPr>
        <w:t xml:space="preserve"> </w:t>
      </w:r>
      <w:r w:rsidR="000D52F6">
        <w:rPr>
          <w:bCs/>
          <w:sz w:val="22"/>
          <w:szCs w:val="22"/>
          <w:lang w:eastAsia="sl-SI"/>
        </w:rPr>
        <w:t xml:space="preserve">After the round table discussions, </w:t>
      </w:r>
      <w:r>
        <w:rPr>
          <w:bCs/>
          <w:sz w:val="22"/>
          <w:szCs w:val="22"/>
          <w:lang w:eastAsia="sl-SI"/>
        </w:rPr>
        <w:t>key</w:t>
      </w:r>
      <w:r w:rsidR="000D52F6">
        <w:rPr>
          <w:bCs/>
          <w:sz w:val="22"/>
          <w:szCs w:val="22"/>
          <w:lang w:eastAsia="sl-SI"/>
        </w:rPr>
        <w:t xml:space="preserve"> discussion</w:t>
      </w:r>
      <w:r>
        <w:rPr>
          <w:bCs/>
          <w:sz w:val="22"/>
          <w:szCs w:val="22"/>
          <w:lang w:eastAsia="sl-SI"/>
        </w:rPr>
        <w:t xml:space="preserve"> outcomes w</w:t>
      </w:r>
      <w:r w:rsidR="000D52F6">
        <w:rPr>
          <w:bCs/>
          <w:sz w:val="22"/>
          <w:szCs w:val="22"/>
          <w:lang w:eastAsia="sl-SI"/>
        </w:rPr>
        <w:t>ere</w:t>
      </w:r>
      <w:r>
        <w:rPr>
          <w:bCs/>
          <w:sz w:val="22"/>
          <w:szCs w:val="22"/>
          <w:lang w:eastAsia="sl-SI"/>
        </w:rPr>
        <w:t xml:space="preserve"> presented</w:t>
      </w:r>
      <w:r>
        <w:rPr>
          <w:sz w:val="22"/>
          <w:szCs w:val="22"/>
          <w:lang w:eastAsia="sl-SI"/>
        </w:rPr>
        <w:t xml:space="preserve"> by Naida Carsimamovic, BCOP Resource Team member</w:t>
      </w:r>
      <w:r w:rsidR="00727935">
        <w:rPr>
          <w:sz w:val="22"/>
          <w:szCs w:val="22"/>
          <w:lang w:eastAsia="sl-SI"/>
        </w:rPr>
        <w:t>, and they are summarized below.</w:t>
      </w:r>
      <w:r>
        <w:rPr>
          <w:sz w:val="22"/>
          <w:szCs w:val="22"/>
          <w:lang w:eastAsia="sl-SI"/>
        </w:rPr>
        <w:t xml:space="preserve"> </w:t>
      </w:r>
    </w:p>
    <w:p w14:paraId="520881B5" w14:textId="5480AF23" w:rsidR="00E12404" w:rsidRPr="0072612A" w:rsidRDefault="004119EE" w:rsidP="00B25262">
      <w:pPr>
        <w:pStyle w:val="Heading1"/>
        <w:spacing w:before="0" w:afterLines="80" w:after="192" w:line="240" w:lineRule="auto"/>
        <w:rPr>
          <w:rFonts w:ascii="Times New Roman" w:hAnsi="Times New Roman" w:cs="Times New Roman"/>
          <w:b/>
          <w:bCs/>
          <w:color w:val="00B0F0"/>
          <w:sz w:val="22"/>
          <w:szCs w:val="22"/>
        </w:rPr>
      </w:pPr>
      <w:bookmarkStart w:id="10" w:name="_Toc38390888"/>
      <w:r>
        <w:rPr>
          <w:rFonts w:ascii="Times New Roman" w:hAnsi="Times New Roman" w:cs="Times New Roman"/>
          <w:b/>
          <w:bCs/>
          <w:color w:val="00B0F0"/>
          <w:sz w:val="22"/>
          <w:szCs w:val="22"/>
        </w:rPr>
        <w:t xml:space="preserve">Key Budgeting Challenges and </w:t>
      </w:r>
      <w:r w:rsidR="00E12404" w:rsidRPr="0072612A">
        <w:rPr>
          <w:rFonts w:ascii="Times New Roman" w:hAnsi="Times New Roman" w:cs="Times New Roman"/>
          <w:b/>
          <w:bCs/>
          <w:color w:val="00B0F0"/>
          <w:sz w:val="22"/>
          <w:szCs w:val="22"/>
        </w:rPr>
        <w:t>Measures Introduced and Planned in BCOP Countries</w:t>
      </w:r>
      <w:bookmarkEnd w:id="10"/>
      <w:r w:rsidR="00E12404" w:rsidRPr="0072612A">
        <w:rPr>
          <w:rFonts w:ascii="Times New Roman" w:hAnsi="Times New Roman" w:cs="Times New Roman"/>
          <w:b/>
          <w:bCs/>
          <w:color w:val="00B0F0"/>
          <w:sz w:val="22"/>
          <w:szCs w:val="22"/>
        </w:rPr>
        <w:t xml:space="preserve"> </w:t>
      </w:r>
    </w:p>
    <w:p w14:paraId="670943FE" w14:textId="18F0B98D" w:rsidR="00727935" w:rsidRDefault="00DB5F88" w:rsidP="00377538">
      <w:pPr>
        <w:jc w:val="both"/>
        <w:rPr>
          <w:bCs/>
          <w:sz w:val="22"/>
          <w:szCs w:val="22"/>
        </w:rPr>
      </w:pPr>
      <w:r>
        <w:rPr>
          <w:b/>
          <w:sz w:val="22"/>
          <w:szCs w:val="22"/>
        </w:rPr>
        <w:t>Budget planning and related departments/</w:t>
      </w:r>
      <w:proofErr w:type="spellStart"/>
      <w:r w:rsidR="00634F45">
        <w:rPr>
          <w:b/>
          <w:sz w:val="22"/>
          <w:szCs w:val="22"/>
        </w:rPr>
        <w:t>devisions</w:t>
      </w:r>
      <w:proofErr w:type="spellEnd"/>
      <w:r>
        <w:rPr>
          <w:b/>
          <w:sz w:val="22"/>
          <w:szCs w:val="22"/>
        </w:rPr>
        <w:t xml:space="preserve"> in Ministries of Finance</w:t>
      </w:r>
      <w:r w:rsidR="00727935">
        <w:rPr>
          <w:b/>
          <w:sz w:val="22"/>
          <w:szCs w:val="22"/>
        </w:rPr>
        <w:t xml:space="preserve"> in PEMPAL countries</w:t>
      </w:r>
      <w:r w:rsidR="00091EEC">
        <w:rPr>
          <w:b/>
          <w:sz w:val="22"/>
          <w:szCs w:val="22"/>
        </w:rPr>
        <w:t xml:space="preserve"> </w:t>
      </w:r>
      <w:r w:rsidR="000D52F6">
        <w:rPr>
          <w:b/>
          <w:sz w:val="22"/>
          <w:szCs w:val="22"/>
        </w:rPr>
        <w:t xml:space="preserve">face </w:t>
      </w:r>
      <w:r w:rsidR="00B85D9A">
        <w:rPr>
          <w:b/>
          <w:sz w:val="22"/>
          <w:szCs w:val="22"/>
        </w:rPr>
        <w:t xml:space="preserve">challenging and expanded workload </w:t>
      </w:r>
      <w:r w:rsidR="000D52F6">
        <w:rPr>
          <w:b/>
          <w:sz w:val="22"/>
          <w:szCs w:val="22"/>
        </w:rPr>
        <w:t>amidst the Covid-19 emergency</w:t>
      </w:r>
      <w:r w:rsidR="00634F45">
        <w:rPr>
          <w:b/>
          <w:sz w:val="22"/>
          <w:szCs w:val="22"/>
        </w:rPr>
        <w:t xml:space="preserve">. </w:t>
      </w:r>
      <w:r w:rsidR="00634F45" w:rsidRPr="00634F45">
        <w:rPr>
          <w:bCs/>
          <w:sz w:val="22"/>
          <w:szCs w:val="22"/>
        </w:rPr>
        <w:t xml:space="preserve">That is </w:t>
      </w:r>
      <w:r w:rsidR="000D52F6" w:rsidRPr="00634F45">
        <w:rPr>
          <w:bCs/>
          <w:sz w:val="22"/>
          <w:szCs w:val="22"/>
        </w:rPr>
        <w:t>given</w:t>
      </w:r>
      <w:r w:rsidR="00B85D9A" w:rsidRPr="00634F45">
        <w:rPr>
          <w:bCs/>
          <w:sz w:val="22"/>
          <w:szCs w:val="22"/>
        </w:rPr>
        <w:t xml:space="preserve"> their regular </w:t>
      </w:r>
      <w:r w:rsidR="000D52F6" w:rsidRPr="00634F45">
        <w:rPr>
          <w:bCs/>
          <w:sz w:val="22"/>
          <w:szCs w:val="22"/>
        </w:rPr>
        <w:t xml:space="preserve">key role </w:t>
      </w:r>
      <w:r w:rsidR="00B85D9A" w:rsidRPr="00634F45">
        <w:rPr>
          <w:bCs/>
          <w:sz w:val="22"/>
          <w:szCs w:val="22"/>
        </w:rPr>
        <w:t xml:space="preserve">in </w:t>
      </w:r>
      <w:r w:rsidR="005C06F8" w:rsidRPr="00634F45">
        <w:rPr>
          <w:bCs/>
          <w:sz w:val="22"/>
          <w:szCs w:val="22"/>
        </w:rPr>
        <w:t xml:space="preserve">monitoring the execution of </w:t>
      </w:r>
      <w:r w:rsidR="00B85D9A" w:rsidRPr="00634F45">
        <w:rPr>
          <w:bCs/>
          <w:sz w:val="22"/>
          <w:szCs w:val="22"/>
        </w:rPr>
        <w:t xml:space="preserve">budget appropriations, </w:t>
      </w:r>
      <w:r w:rsidR="003B73D9">
        <w:rPr>
          <w:bCs/>
          <w:sz w:val="22"/>
          <w:szCs w:val="22"/>
        </w:rPr>
        <w:t xml:space="preserve">and the core </w:t>
      </w:r>
      <w:r w:rsidR="00B85D9A" w:rsidRPr="00634F45">
        <w:rPr>
          <w:bCs/>
          <w:sz w:val="22"/>
          <w:szCs w:val="22"/>
        </w:rPr>
        <w:t>role in operationalizing governments’ response in terms of new emergency measures</w:t>
      </w:r>
      <w:r w:rsidR="00727935" w:rsidRPr="00634F45">
        <w:rPr>
          <w:bCs/>
          <w:sz w:val="22"/>
          <w:szCs w:val="22"/>
        </w:rPr>
        <w:t xml:space="preserve"> and large budget expenditure pressures coupled with fall in revenues</w:t>
      </w:r>
      <w:r w:rsidR="00B85D9A" w:rsidRPr="00634F45">
        <w:rPr>
          <w:bCs/>
          <w:sz w:val="22"/>
          <w:szCs w:val="22"/>
        </w:rPr>
        <w:t xml:space="preserve">. </w:t>
      </w:r>
      <w:r w:rsidR="00727935" w:rsidRPr="00634F45">
        <w:rPr>
          <w:bCs/>
          <w:sz w:val="22"/>
          <w:szCs w:val="22"/>
        </w:rPr>
        <w:t>T</w:t>
      </w:r>
      <w:r w:rsidR="00B85D9A" w:rsidRPr="00634F45">
        <w:rPr>
          <w:bCs/>
          <w:sz w:val="22"/>
          <w:szCs w:val="22"/>
        </w:rPr>
        <w:t xml:space="preserve">asks </w:t>
      </w:r>
      <w:r w:rsidR="00727935" w:rsidRPr="00634F45">
        <w:rPr>
          <w:bCs/>
          <w:sz w:val="22"/>
          <w:szCs w:val="22"/>
        </w:rPr>
        <w:t xml:space="preserve">include those </w:t>
      </w:r>
      <w:r w:rsidR="00B85D9A" w:rsidRPr="00634F45">
        <w:rPr>
          <w:bCs/>
          <w:sz w:val="22"/>
          <w:szCs w:val="22"/>
        </w:rPr>
        <w:t>related to budget appropriation</w:t>
      </w:r>
      <w:r w:rsidR="00B85D9A" w:rsidRPr="00B85D9A">
        <w:rPr>
          <w:bCs/>
          <w:sz w:val="22"/>
          <w:szCs w:val="22"/>
        </w:rPr>
        <w:t xml:space="preserve"> restructuring and/or </w:t>
      </w:r>
      <w:r w:rsidR="00B85D9A">
        <w:rPr>
          <w:bCs/>
          <w:sz w:val="22"/>
          <w:szCs w:val="22"/>
        </w:rPr>
        <w:t xml:space="preserve">budget </w:t>
      </w:r>
      <w:r w:rsidR="00B85D9A" w:rsidRPr="00B85D9A">
        <w:rPr>
          <w:bCs/>
          <w:sz w:val="22"/>
          <w:szCs w:val="22"/>
        </w:rPr>
        <w:t>rebalances on both expenditure</w:t>
      </w:r>
      <w:r w:rsidR="00B85D9A">
        <w:rPr>
          <w:bCs/>
          <w:sz w:val="22"/>
          <w:szCs w:val="22"/>
        </w:rPr>
        <w:t>/outlay</w:t>
      </w:r>
      <w:r w:rsidR="00B85D9A" w:rsidRPr="00B85D9A">
        <w:rPr>
          <w:bCs/>
          <w:sz w:val="22"/>
          <w:szCs w:val="22"/>
        </w:rPr>
        <w:t xml:space="preserve"> and revenue</w:t>
      </w:r>
      <w:r w:rsidR="00B85D9A">
        <w:rPr>
          <w:bCs/>
          <w:sz w:val="22"/>
          <w:szCs w:val="22"/>
        </w:rPr>
        <w:t>/receipt</w:t>
      </w:r>
      <w:r w:rsidR="00B85D9A" w:rsidRPr="00B85D9A">
        <w:rPr>
          <w:bCs/>
          <w:sz w:val="22"/>
          <w:szCs w:val="22"/>
        </w:rPr>
        <w:t xml:space="preserve"> side of the budget to reflect </w:t>
      </w:r>
      <w:r w:rsidR="006C602C">
        <w:rPr>
          <w:bCs/>
          <w:sz w:val="22"/>
          <w:szCs w:val="22"/>
        </w:rPr>
        <w:t xml:space="preserve">the </w:t>
      </w:r>
      <w:r w:rsidR="00B85D9A">
        <w:rPr>
          <w:bCs/>
          <w:sz w:val="22"/>
          <w:szCs w:val="22"/>
        </w:rPr>
        <w:t xml:space="preserve">increase </w:t>
      </w:r>
      <w:r w:rsidR="00B85D9A">
        <w:rPr>
          <w:bCs/>
          <w:sz w:val="22"/>
          <w:szCs w:val="22"/>
        </w:rPr>
        <w:lastRenderedPageBreak/>
        <w:t xml:space="preserve">in budget spending for emergency public services and </w:t>
      </w:r>
      <w:r w:rsidR="00B85D9A" w:rsidRPr="00B85D9A">
        <w:rPr>
          <w:bCs/>
          <w:sz w:val="22"/>
          <w:szCs w:val="22"/>
        </w:rPr>
        <w:t xml:space="preserve">governments’ new </w:t>
      </w:r>
      <w:r w:rsidR="00B85D9A">
        <w:rPr>
          <w:bCs/>
          <w:sz w:val="22"/>
          <w:szCs w:val="22"/>
        </w:rPr>
        <w:t xml:space="preserve">economic and social </w:t>
      </w:r>
      <w:r w:rsidR="00B85D9A" w:rsidRPr="00B85D9A">
        <w:rPr>
          <w:bCs/>
          <w:sz w:val="22"/>
          <w:szCs w:val="22"/>
        </w:rPr>
        <w:t>policy measures</w:t>
      </w:r>
      <w:r w:rsidR="00B85D9A">
        <w:rPr>
          <w:bCs/>
          <w:sz w:val="22"/>
          <w:szCs w:val="22"/>
        </w:rPr>
        <w:t>, budget savings on other spending categories, decrease in ta</w:t>
      </w:r>
      <w:r w:rsidR="00727935">
        <w:rPr>
          <w:bCs/>
          <w:sz w:val="22"/>
          <w:szCs w:val="22"/>
        </w:rPr>
        <w:t xml:space="preserve">x and commodity-related revenues, and increase in additional sources of financing, such as loans, grants, extra-budgetary funds, and </w:t>
      </w:r>
      <w:r w:rsidR="000D52F6" w:rsidRPr="00B85D9A">
        <w:rPr>
          <w:bCs/>
          <w:sz w:val="22"/>
          <w:szCs w:val="22"/>
        </w:rPr>
        <w:t>activating emergency reserve spending</w:t>
      </w:r>
      <w:r w:rsidR="00727935">
        <w:rPr>
          <w:bCs/>
          <w:sz w:val="22"/>
          <w:szCs w:val="22"/>
        </w:rPr>
        <w:t xml:space="preserve">. These tasks are additionally complicated by the urgency to design and implement the measures quickly, while at the same time operating in extremely high uncertainty in terms of projections of budget revenues and </w:t>
      </w:r>
      <w:r w:rsidR="00122607">
        <w:rPr>
          <w:bCs/>
          <w:sz w:val="22"/>
          <w:szCs w:val="22"/>
        </w:rPr>
        <w:t xml:space="preserve">the </w:t>
      </w:r>
      <w:r w:rsidR="00727935">
        <w:rPr>
          <w:bCs/>
          <w:sz w:val="22"/>
          <w:szCs w:val="22"/>
        </w:rPr>
        <w:t xml:space="preserve">economic and social impact of the crisis. </w:t>
      </w:r>
      <w:r w:rsidR="001A3A53">
        <w:rPr>
          <w:bCs/>
          <w:sz w:val="22"/>
          <w:szCs w:val="22"/>
        </w:rPr>
        <w:t xml:space="preserve">In addition, there are procedural budgeting challenges related to </w:t>
      </w:r>
      <w:r w:rsidR="00122607">
        <w:rPr>
          <w:bCs/>
          <w:sz w:val="22"/>
          <w:szCs w:val="22"/>
        </w:rPr>
        <w:t xml:space="preserve">the length </w:t>
      </w:r>
      <w:r w:rsidR="003B73D9">
        <w:rPr>
          <w:bCs/>
          <w:sz w:val="22"/>
          <w:szCs w:val="22"/>
        </w:rPr>
        <w:t>of time</w:t>
      </w:r>
      <w:r w:rsidR="001A3A53">
        <w:rPr>
          <w:bCs/>
          <w:sz w:val="22"/>
          <w:szCs w:val="22"/>
        </w:rPr>
        <w:t xml:space="preserve"> needed for emergent budget restructuring and reallocation to go through executive and legislation adoption procedures. </w:t>
      </w:r>
    </w:p>
    <w:p w14:paraId="15180172" w14:textId="54FC243E" w:rsidR="00727935" w:rsidRDefault="00727935" w:rsidP="00377538">
      <w:pPr>
        <w:jc w:val="both"/>
        <w:rPr>
          <w:bCs/>
          <w:sz w:val="22"/>
          <w:szCs w:val="22"/>
        </w:rPr>
      </w:pPr>
    </w:p>
    <w:p w14:paraId="2E925C98" w14:textId="058D143F" w:rsidR="00CD1641" w:rsidRDefault="00091EEC" w:rsidP="00377538">
      <w:pPr>
        <w:jc w:val="both"/>
        <w:rPr>
          <w:bCs/>
          <w:sz w:val="22"/>
          <w:szCs w:val="22"/>
        </w:rPr>
      </w:pPr>
      <w:r>
        <w:rPr>
          <w:b/>
          <w:sz w:val="22"/>
          <w:szCs w:val="22"/>
        </w:rPr>
        <w:t>PEMPAL countries already face large b</w:t>
      </w:r>
      <w:r w:rsidR="00727935" w:rsidRPr="00091EEC">
        <w:rPr>
          <w:b/>
          <w:sz w:val="22"/>
          <w:szCs w:val="22"/>
        </w:rPr>
        <w:t>udget expenditure pressures</w:t>
      </w:r>
      <w:r>
        <w:rPr>
          <w:b/>
          <w:sz w:val="22"/>
          <w:szCs w:val="22"/>
        </w:rPr>
        <w:t xml:space="preserve">, which are </w:t>
      </w:r>
      <w:r w:rsidR="00727935" w:rsidRPr="00091EEC">
        <w:rPr>
          <w:b/>
          <w:sz w:val="22"/>
          <w:szCs w:val="22"/>
        </w:rPr>
        <w:t>three</w:t>
      </w:r>
      <w:r w:rsidRPr="00091EEC">
        <w:rPr>
          <w:b/>
          <w:sz w:val="22"/>
          <w:szCs w:val="22"/>
        </w:rPr>
        <w:t>-</w:t>
      </w:r>
      <w:r w:rsidR="00727935" w:rsidRPr="00091EEC">
        <w:rPr>
          <w:b/>
          <w:sz w:val="22"/>
          <w:szCs w:val="22"/>
        </w:rPr>
        <w:t>fold</w:t>
      </w:r>
      <w:r>
        <w:rPr>
          <w:bCs/>
          <w:sz w:val="22"/>
          <w:szCs w:val="22"/>
        </w:rPr>
        <w:t>. First, additional resources are needed for emergency public services. This in PEMPAL countries includes foremost the health sector needs in terms of equipment, supplies, and staffing/overtime work, but also other emergency response needs, such as those related to police, defense, border management, civil protection etc. Second, additional resources are needed for alleviating the crisis’ impact on households and individuals. Examples from PEMPAL countries include increased funding of unemployment benefits and benefits for families with children, as well as ensuring the stability in payment of regular pensions and social welfare benefits amidst the fall in revenues.</w:t>
      </w:r>
      <w:r w:rsidR="00294809">
        <w:rPr>
          <w:bCs/>
          <w:sz w:val="22"/>
          <w:szCs w:val="22"/>
        </w:rPr>
        <w:t xml:space="preserve"> </w:t>
      </w:r>
      <w:r>
        <w:rPr>
          <w:bCs/>
          <w:sz w:val="22"/>
          <w:szCs w:val="22"/>
        </w:rPr>
        <w:t xml:space="preserve">Third, </w:t>
      </w:r>
      <w:r w:rsidR="0065075A">
        <w:rPr>
          <w:bCs/>
          <w:sz w:val="22"/>
          <w:szCs w:val="22"/>
        </w:rPr>
        <w:t xml:space="preserve">additional resources are needed for governments’ support to </w:t>
      </w:r>
      <w:r w:rsidR="00294809">
        <w:rPr>
          <w:bCs/>
          <w:sz w:val="22"/>
          <w:szCs w:val="22"/>
        </w:rPr>
        <w:t xml:space="preserve">the private/real </w:t>
      </w:r>
      <w:r w:rsidR="0065075A">
        <w:rPr>
          <w:bCs/>
          <w:sz w:val="22"/>
          <w:szCs w:val="22"/>
        </w:rPr>
        <w:t xml:space="preserve">sector </w:t>
      </w:r>
      <w:r w:rsidR="00294809">
        <w:rPr>
          <w:bCs/>
          <w:sz w:val="22"/>
          <w:szCs w:val="22"/>
        </w:rPr>
        <w:t xml:space="preserve">of the economy </w:t>
      </w:r>
      <w:r w:rsidR="0065075A">
        <w:rPr>
          <w:bCs/>
          <w:sz w:val="22"/>
          <w:szCs w:val="22"/>
        </w:rPr>
        <w:t>to retain jobs and pre</w:t>
      </w:r>
      <w:r w:rsidR="00294809">
        <w:rPr>
          <w:bCs/>
          <w:sz w:val="22"/>
          <w:szCs w:val="22"/>
        </w:rPr>
        <w:t>vent economic losses. All participating PEMPAL countries already started implementing some measures targeted at the real sector, while additional stronger measures are being planned or considered</w:t>
      </w:r>
      <w:r w:rsidR="00FA147E">
        <w:rPr>
          <w:bCs/>
          <w:sz w:val="22"/>
          <w:szCs w:val="22"/>
        </w:rPr>
        <w:t xml:space="preserve">. </w:t>
      </w:r>
      <w:r w:rsidR="004A3FCB">
        <w:rPr>
          <w:bCs/>
          <w:sz w:val="22"/>
          <w:szCs w:val="22"/>
        </w:rPr>
        <w:t>Participating BCOP countries presented measures in their countries in detail</w:t>
      </w:r>
      <w:r w:rsidR="003F59BA">
        <w:rPr>
          <w:bCs/>
          <w:sz w:val="22"/>
          <w:szCs w:val="22"/>
        </w:rPr>
        <w:t>. N</w:t>
      </w:r>
      <w:r w:rsidR="004A3FCB">
        <w:rPr>
          <w:bCs/>
          <w:sz w:val="22"/>
          <w:szCs w:val="22"/>
        </w:rPr>
        <w:t xml:space="preserve">ote that the details for all PEMPAL countries and most countries globally can be followed on IMF’s and OECD’s Policy Tracker – links are given in the </w:t>
      </w:r>
      <w:r w:rsidR="003F59BA">
        <w:rPr>
          <w:bCs/>
          <w:sz w:val="22"/>
          <w:szCs w:val="22"/>
        </w:rPr>
        <w:t>final</w:t>
      </w:r>
      <w:r w:rsidR="004A3FCB">
        <w:rPr>
          <w:bCs/>
          <w:sz w:val="22"/>
          <w:szCs w:val="22"/>
        </w:rPr>
        <w:t xml:space="preserve"> section of this report</w:t>
      </w:r>
      <w:r w:rsidR="003F59BA">
        <w:rPr>
          <w:bCs/>
          <w:sz w:val="22"/>
          <w:szCs w:val="22"/>
        </w:rPr>
        <w:t>.</w:t>
      </w:r>
      <w:r w:rsidR="004A3FCB">
        <w:rPr>
          <w:bCs/>
          <w:sz w:val="22"/>
          <w:szCs w:val="22"/>
        </w:rPr>
        <w:t xml:space="preserve"> </w:t>
      </w:r>
    </w:p>
    <w:p w14:paraId="03B70A62" w14:textId="77777777" w:rsidR="00CD1641" w:rsidRDefault="00CD1641" w:rsidP="00377538">
      <w:pPr>
        <w:jc w:val="both"/>
        <w:rPr>
          <w:bCs/>
          <w:sz w:val="22"/>
          <w:szCs w:val="22"/>
        </w:rPr>
      </w:pPr>
    </w:p>
    <w:p w14:paraId="39ECB7F1" w14:textId="3E675473" w:rsidR="0017059C" w:rsidRDefault="00A35244" w:rsidP="00CD1641">
      <w:pPr>
        <w:jc w:val="both"/>
        <w:rPr>
          <w:bCs/>
          <w:sz w:val="22"/>
          <w:szCs w:val="22"/>
        </w:rPr>
      </w:pPr>
      <w:r w:rsidRPr="00CD1641">
        <w:rPr>
          <w:b/>
          <w:sz w:val="22"/>
          <w:szCs w:val="22"/>
        </w:rPr>
        <w:t>Overall, measures that are being implemented or planned</w:t>
      </w:r>
      <w:r w:rsidR="004A3FCB" w:rsidRPr="00CD1641">
        <w:rPr>
          <w:b/>
          <w:sz w:val="22"/>
          <w:szCs w:val="22"/>
        </w:rPr>
        <w:t xml:space="preserve"> in PEMPAL countries</w:t>
      </w:r>
      <w:r w:rsidRPr="00CD1641">
        <w:rPr>
          <w:b/>
          <w:sz w:val="22"/>
          <w:szCs w:val="22"/>
        </w:rPr>
        <w:t xml:space="preserve"> for the private sector can be broadly grouped into three categories</w:t>
      </w:r>
      <w:r w:rsidR="0017059C">
        <w:rPr>
          <w:b/>
          <w:sz w:val="22"/>
          <w:szCs w:val="22"/>
        </w:rPr>
        <w:t xml:space="preserve">. </w:t>
      </w:r>
      <w:r w:rsidR="0017059C" w:rsidRPr="0017059C">
        <w:rPr>
          <w:bCs/>
          <w:sz w:val="22"/>
          <w:szCs w:val="22"/>
        </w:rPr>
        <w:t>These include:</w:t>
      </w:r>
      <w:r w:rsidR="00CD1641" w:rsidRPr="0017059C">
        <w:rPr>
          <w:bCs/>
          <w:sz w:val="22"/>
          <w:szCs w:val="22"/>
        </w:rPr>
        <w:t xml:space="preserve"> i) </w:t>
      </w:r>
      <w:r w:rsidR="004A3FCB" w:rsidRPr="0017059C">
        <w:rPr>
          <w:bCs/>
          <w:sz w:val="22"/>
          <w:szCs w:val="22"/>
        </w:rPr>
        <w:t>m</w:t>
      </w:r>
      <w:r w:rsidR="0003234D" w:rsidRPr="0017059C">
        <w:rPr>
          <w:bCs/>
          <w:sz w:val="22"/>
          <w:szCs w:val="22"/>
        </w:rPr>
        <w:t xml:space="preserve">easures </w:t>
      </w:r>
      <w:r w:rsidR="004A3FCB" w:rsidRPr="0017059C">
        <w:rPr>
          <w:bCs/>
          <w:sz w:val="22"/>
          <w:szCs w:val="22"/>
        </w:rPr>
        <w:t>to relieve/subsidize private sector payments</w:t>
      </w:r>
      <w:r w:rsidR="00CD1641" w:rsidRPr="0017059C">
        <w:rPr>
          <w:bCs/>
          <w:sz w:val="22"/>
          <w:szCs w:val="22"/>
        </w:rPr>
        <w:t xml:space="preserve">, ii) </w:t>
      </w:r>
      <w:r w:rsidR="004A3FCB" w:rsidRPr="0017059C">
        <w:rPr>
          <w:bCs/>
          <w:sz w:val="22"/>
          <w:szCs w:val="22"/>
        </w:rPr>
        <w:t>measures related to financing of private sector</w:t>
      </w:r>
      <w:r w:rsidR="00CD1641" w:rsidRPr="0017059C">
        <w:rPr>
          <w:bCs/>
          <w:sz w:val="22"/>
          <w:szCs w:val="22"/>
        </w:rPr>
        <w:t>, and iii)</w:t>
      </w:r>
      <w:r w:rsidR="00FA147E" w:rsidRPr="0017059C">
        <w:rPr>
          <w:bCs/>
          <w:sz w:val="22"/>
          <w:szCs w:val="22"/>
        </w:rPr>
        <w:t xml:space="preserve"> </w:t>
      </w:r>
      <w:r w:rsidR="004A3FCB" w:rsidRPr="0017059C">
        <w:rPr>
          <w:bCs/>
          <w:sz w:val="22"/>
          <w:szCs w:val="22"/>
        </w:rPr>
        <w:t>measures alleviating foreign trade and transport of essential supplies used by the private sector</w:t>
      </w:r>
      <w:r w:rsidR="00CD1641" w:rsidRPr="0017059C">
        <w:rPr>
          <w:bCs/>
          <w:sz w:val="22"/>
          <w:szCs w:val="22"/>
        </w:rPr>
        <w:t>.</w:t>
      </w:r>
      <w:r w:rsidR="0017059C">
        <w:rPr>
          <w:bCs/>
          <w:sz w:val="22"/>
          <w:szCs w:val="22"/>
        </w:rPr>
        <w:t xml:space="preserve"> Measures are in some cases targeted to specific sectors (most notably in the industry whose work is explicitly prohibited under emergency state, such as </w:t>
      </w:r>
      <w:r w:rsidR="00122607">
        <w:rPr>
          <w:bCs/>
          <w:sz w:val="22"/>
          <w:szCs w:val="22"/>
        </w:rPr>
        <w:t xml:space="preserve">the </w:t>
      </w:r>
      <w:r w:rsidR="0017059C">
        <w:rPr>
          <w:bCs/>
          <w:sz w:val="22"/>
          <w:szCs w:val="22"/>
        </w:rPr>
        <w:t xml:space="preserve">hospitality industry) or have specific conditionalities attached to them, such as reduction of revenues that a business must have in order to qualify for </w:t>
      </w:r>
      <w:r w:rsidR="00122607">
        <w:rPr>
          <w:bCs/>
          <w:sz w:val="22"/>
          <w:szCs w:val="22"/>
        </w:rPr>
        <w:t xml:space="preserve">an </w:t>
      </w:r>
      <w:r w:rsidR="0017059C">
        <w:rPr>
          <w:bCs/>
          <w:sz w:val="22"/>
          <w:szCs w:val="22"/>
        </w:rPr>
        <w:t xml:space="preserve">aid/subsidy. The condition of retaining employees is usually also applied for a business in order to qualify for </w:t>
      </w:r>
      <w:r w:rsidR="00122607">
        <w:rPr>
          <w:bCs/>
          <w:sz w:val="22"/>
          <w:szCs w:val="22"/>
        </w:rPr>
        <w:t xml:space="preserve">an </w:t>
      </w:r>
      <w:r w:rsidR="0017059C">
        <w:rPr>
          <w:bCs/>
          <w:sz w:val="22"/>
          <w:szCs w:val="22"/>
        </w:rPr>
        <w:t>aid/subsidy.</w:t>
      </w:r>
    </w:p>
    <w:p w14:paraId="07DC7420" w14:textId="77777777" w:rsidR="0017059C" w:rsidRDefault="0017059C" w:rsidP="00CD1641">
      <w:pPr>
        <w:jc w:val="both"/>
        <w:rPr>
          <w:bCs/>
          <w:sz w:val="22"/>
          <w:szCs w:val="22"/>
        </w:rPr>
      </w:pPr>
    </w:p>
    <w:p w14:paraId="0CC9FFE4" w14:textId="6DB45CA1" w:rsidR="004A3FCB" w:rsidRDefault="00CD1641" w:rsidP="00CD1641">
      <w:pPr>
        <w:jc w:val="both"/>
        <w:rPr>
          <w:bCs/>
          <w:sz w:val="22"/>
          <w:szCs w:val="22"/>
        </w:rPr>
      </w:pPr>
      <w:r w:rsidRPr="0017059C">
        <w:rPr>
          <w:b/>
          <w:sz w:val="22"/>
          <w:szCs w:val="22"/>
        </w:rPr>
        <w:t>Measures</w:t>
      </w:r>
      <w:r w:rsidR="00FA147E" w:rsidRPr="0017059C">
        <w:rPr>
          <w:b/>
          <w:sz w:val="22"/>
          <w:szCs w:val="22"/>
        </w:rPr>
        <w:t xml:space="preserve"> introduced or considered for introduction by PEMPAL countries</w:t>
      </w:r>
      <w:r w:rsidRPr="0017059C">
        <w:rPr>
          <w:b/>
          <w:sz w:val="22"/>
          <w:szCs w:val="22"/>
        </w:rPr>
        <w:t xml:space="preserve"> related to relieving/subsidizing private sector payments range from less to more extensive in terms of their scope</w:t>
      </w:r>
      <w:r>
        <w:rPr>
          <w:bCs/>
          <w:sz w:val="22"/>
          <w:szCs w:val="22"/>
        </w:rPr>
        <w:t xml:space="preserve"> as follows: postponing deadlines for tax form and financial statement submissions; delaying or waiving rent payments for renting public assets; </w:t>
      </w:r>
      <w:r w:rsidR="00FA147E">
        <w:rPr>
          <w:bCs/>
          <w:sz w:val="22"/>
          <w:szCs w:val="22"/>
        </w:rPr>
        <w:t>deferring tax payments; waiving payments of certain taxes and/or parafiscal fees; subsidizing personal income taxes and contribution on employees</w:t>
      </w:r>
      <w:r w:rsidR="00122607">
        <w:rPr>
          <w:bCs/>
          <w:sz w:val="22"/>
          <w:szCs w:val="22"/>
        </w:rPr>
        <w:t>’</w:t>
      </w:r>
      <w:r w:rsidR="00FA147E">
        <w:rPr>
          <w:bCs/>
          <w:sz w:val="22"/>
          <w:szCs w:val="22"/>
        </w:rPr>
        <w:t xml:space="preserve"> salaries; subsidizing net salaries of employees in part or in full (e.g. up to minimum salary amount or up to a certain percentage of net salary). </w:t>
      </w:r>
    </w:p>
    <w:p w14:paraId="0FC0CDA2" w14:textId="729D6EC1" w:rsidR="00FA147E" w:rsidRDefault="00FA147E" w:rsidP="00CD1641">
      <w:pPr>
        <w:jc w:val="both"/>
        <w:rPr>
          <w:bCs/>
          <w:sz w:val="22"/>
          <w:szCs w:val="22"/>
        </w:rPr>
      </w:pPr>
    </w:p>
    <w:p w14:paraId="1CAED714" w14:textId="61FF00EF" w:rsidR="00FA147E" w:rsidRDefault="00FA147E" w:rsidP="00CD1641">
      <w:pPr>
        <w:jc w:val="both"/>
        <w:rPr>
          <w:bCs/>
          <w:sz w:val="22"/>
          <w:szCs w:val="22"/>
        </w:rPr>
      </w:pPr>
      <w:r w:rsidRPr="00FA147E">
        <w:rPr>
          <w:b/>
          <w:sz w:val="22"/>
          <w:szCs w:val="22"/>
        </w:rPr>
        <w:t>Measures related to financing</w:t>
      </w:r>
      <w:r>
        <w:rPr>
          <w:b/>
          <w:sz w:val="22"/>
          <w:szCs w:val="22"/>
        </w:rPr>
        <w:t xml:space="preserve"> of private sector</w:t>
      </w:r>
      <w:r w:rsidRPr="00FA147E">
        <w:rPr>
          <w:b/>
          <w:sz w:val="22"/>
          <w:szCs w:val="22"/>
        </w:rPr>
        <w:t xml:space="preserve"> are implemented in several PEMPAL countries through central banks, nati</w:t>
      </w:r>
      <w:r>
        <w:rPr>
          <w:b/>
          <w:sz w:val="22"/>
          <w:szCs w:val="22"/>
        </w:rPr>
        <w:t>o</w:t>
      </w:r>
      <w:r w:rsidRPr="00FA147E">
        <w:rPr>
          <w:b/>
          <w:sz w:val="22"/>
          <w:szCs w:val="22"/>
        </w:rPr>
        <w:t>nal development banks, and commercial banks mechanisms</w:t>
      </w:r>
      <w:r>
        <w:rPr>
          <w:bCs/>
          <w:sz w:val="22"/>
          <w:szCs w:val="22"/>
        </w:rPr>
        <w:t xml:space="preserve">. </w:t>
      </w:r>
      <w:r w:rsidRPr="00CD1641">
        <w:rPr>
          <w:bCs/>
          <w:sz w:val="22"/>
          <w:szCs w:val="22"/>
        </w:rPr>
        <w:t>Measures</w:t>
      </w:r>
      <w:r>
        <w:rPr>
          <w:bCs/>
          <w:sz w:val="22"/>
          <w:szCs w:val="22"/>
        </w:rPr>
        <w:t xml:space="preserve"> include postponement of repayment of loans</w:t>
      </w:r>
      <w:r w:rsidR="0017059C">
        <w:rPr>
          <w:bCs/>
          <w:sz w:val="22"/>
          <w:szCs w:val="22"/>
        </w:rPr>
        <w:t xml:space="preserve"> and providing affordable and quick emergency loans for the private sector for working capital and liquidity purposes. Loans are guaranteed by the state in many cases and implemented through the commercial banks or national development banks. </w:t>
      </w:r>
    </w:p>
    <w:p w14:paraId="0ED3B156" w14:textId="6A46E1EB" w:rsidR="0017059C" w:rsidRDefault="0017059C" w:rsidP="00CD1641">
      <w:pPr>
        <w:jc w:val="both"/>
        <w:rPr>
          <w:bCs/>
          <w:sz w:val="22"/>
          <w:szCs w:val="22"/>
        </w:rPr>
      </w:pPr>
    </w:p>
    <w:p w14:paraId="3C55DE9F" w14:textId="5FA319A7" w:rsidR="0017059C" w:rsidRPr="00CD1641" w:rsidRDefault="0017059C" w:rsidP="00CD1641">
      <w:pPr>
        <w:jc w:val="both"/>
        <w:rPr>
          <w:bCs/>
          <w:sz w:val="22"/>
          <w:szCs w:val="22"/>
        </w:rPr>
      </w:pPr>
      <w:r w:rsidRPr="008E64ED">
        <w:rPr>
          <w:b/>
          <w:sz w:val="22"/>
          <w:szCs w:val="22"/>
        </w:rPr>
        <w:t xml:space="preserve">Measures related to alleviating foreign trade and transport of essential supplies used </w:t>
      </w:r>
      <w:r w:rsidR="008E64ED" w:rsidRPr="008E64ED">
        <w:rPr>
          <w:b/>
          <w:sz w:val="22"/>
          <w:szCs w:val="22"/>
        </w:rPr>
        <w:t xml:space="preserve">in part of in full </w:t>
      </w:r>
      <w:r w:rsidRPr="008E64ED">
        <w:rPr>
          <w:b/>
          <w:sz w:val="22"/>
          <w:szCs w:val="22"/>
        </w:rPr>
        <w:t>by the private sector</w:t>
      </w:r>
      <w:r w:rsidR="008E64ED" w:rsidRPr="008E64ED">
        <w:rPr>
          <w:b/>
          <w:sz w:val="22"/>
          <w:szCs w:val="22"/>
        </w:rPr>
        <w:t xml:space="preserve"> have also been implemented by PEMPAL countries</w:t>
      </w:r>
      <w:r w:rsidR="008E64ED">
        <w:rPr>
          <w:bCs/>
          <w:sz w:val="22"/>
          <w:szCs w:val="22"/>
        </w:rPr>
        <w:t>. These measures include simplification/waiving of import duties and/or facilitation of transportation for medical supplies and other supplies related to essential needs.</w:t>
      </w:r>
    </w:p>
    <w:p w14:paraId="699C1682" w14:textId="77777777" w:rsidR="00727935" w:rsidRPr="00727935" w:rsidRDefault="00727935" w:rsidP="00377538">
      <w:pPr>
        <w:jc w:val="both"/>
        <w:rPr>
          <w:bCs/>
          <w:sz w:val="22"/>
          <w:szCs w:val="22"/>
        </w:rPr>
      </w:pPr>
    </w:p>
    <w:p w14:paraId="1305113F" w14:textId="77777777" w:rsidR="00B25262" w:rsidRPr="002659A3" w:rsidRDefault="00B25262" w:rsidP="008E64ED">
      <w:pPr>
        <w:jc w:val="both"/>
        <w:rPr>
          <w:sz w:val="22"/>
          <w:szCs w:val="22"/>
        </w:rPr>
      </w:pPr>
    </w:p>
    <w:p w14:paraId="19CE0E63" w14:textId="770E5BEE" w:rsidR="00B25262" w:rsidRPr="0072612A" w:rsidRDefault="004119EE" w:rsidP="00B25262">
      <w:pPr>
        <w:pStyle w:val="Heading3"/>
        <w:spacing w:before="0" w:afterLines="80" w:after="192" w:line="240" w:lineRule="auto"/>
        <w:rPr>
          <w:rFonts w:ascii="Times New Roman" w:hAnsi="Times New Roman" w:cs="Times New Roman"/>
          <w:b/>
          <w:color w:val="00B0F0"/>
          <w:sz w:val="22"/>
          <w:szCs w:val="22"/>
        </w:rPr>
      </w:pPr>
      <w:bookmarkStart w:id="11" w:name="_Toc38390889"/>
      <w:r w:rsidRPr="004119EE">
        <w:rPr>
          <w:rFonts w:ascii="Times New Roman" w:hAnsi="Times New Roman" w:cs="Times New Roman"/>
          <w:b/>
          <w:color w:val="00B0F0"/>
          <w:sz w:val="22"/>
          <w:szCs w:val="22"/>
        </w:rPr>
        <w:lastRenderedPageBreak/>
        <w:t>Measures</w:t>
      </w:r>
      <w:r w:rsidR="008E64ED" w:rsidRPr="004119EE">
        <w:rPr>
          <w:rFonts w:ascii="Times New Roman" w:hAnsi="Times New Roman" w:cs="Times New Roman"/>
          <w:b/>
          <w:color w:val="00B0F0"/>
          <w:sz w:val="22"/>
          <w:szCs w:val="22"/>
        </w:rPr>
        <w:t xml:space="preserve"> </w:t>
      </w:r>
      <w:r w:rsidRPr="004119EE">
        <w:rPr>
          <w:rFonts w:ascii="Times New Roman" w:hAnsi="Times New Roman" w:cs="Times New Roman"/>
          <w:b/>
          <w:color w:val="00B0F0"/>
          <w:sz w:val="22"/>
          <w:szCs w:val="22"/>
        </w:rPr>
        <w:t xml:space="preserve">to </w:t>
      </w:r>
      <w:r>
        <w:rPr>
          <w:rFonts w:ascii="Times New Roman" w:hAnsi="Times New Roman" w:cs="Times New Roman"/>
          <w:b/>
          <w:color w:val="00B0F0"/>
          <w:sz w:val="22"/>
          <w:szCs w:val="22"/>
        </w:rPr>
        <w:t xml:space="preserve">Reorganize </w:t>
      </w:r>
      <w:r w:rsidRPr="004119EE">
        <w:rPr>
          <w:rFonts w:ascii="Times New Roman" w:hAnsi="Times New Roman" w:cs="Times New Roman"/>
          <w:b/>
          <w:color w:val="00B0F0"/>
          <w:sz w:val="22"/>
          <w:szCs w:val="22"/>
        </w:rPr>
        <w:t>Business Processes in the Ministries of Finance in BCOP Countries</w:t>
      </w:r>
      <w:bookmarkEnd w:id="11"/>
      <w:r>
        <w:rPr>
          <w:rFonts w:ascii="Times New Roman" w:hAnsi="Times New Roman" w:cs="Times New Roman"/>
          <w:b/>
          <w:color w:val="00B0F0"/>
          <w:sz w:val="22"/>
          <w:szCs w:val="22"/>
        </w:rPr>
        <w:t xml:space="preserve"> </w:t>
      </w:r>
    </w:p>
    <w:p w14:paraId="1666D579" w14:textId="6C209A4A" w:rsidR="003F59BA" w:rsidRDefault="00CE2F94" w:rsidP="00377538">
      <w:pPr>
        <w:pStyle w:val="NoSpacing"/>
        <w:jc w:val="both"/>
        <w:rPr>
          <w:rFonts w:ascii="Times New Roman" w:eastAsia="Times New Roman" w:hAnsi="Times New Roman" w:cs="Times New Roman"/>
          <w:bCs/>
        </w:rPr>
      </w:pPr>
      <w:r>
        <w:rPr>
          <w:rFonts w:ascii="Times New Roman" w:eastAsia="Times New Roman" w:hAnsi="Times New Roman" w:cs="Times New Roman"/>
          <w:b/>
        </w:rPr>
        <w:t xml:space="preserve">Several internal business process reorganizations have been implemented in Ministries of Finance in BCOP countries including rotating teams between office and </w:t>
      </w:r>
      <w:proofErr w:type="gramStart"/>
      <w:r>
        <w:rPr>
          <w:rFonts w:ascii="Times New Roman" w:eastAsia="Times New Roman" w:hAnsi="Times New Roman" w:cs="Times New Roman"/>
          <w:b/>
        </w:rPr>
        <w:t>home based</w:t>
      </w:r>
      <w:proofErr w:type="gramEnd"/>
      <w:r>
        <w:rPr>
          <w:rFonts w:ascii="Times New Roman" w:eastAsia="Times New Roman" w:hAnsi="Times New Roman" w:cs="Times New Roman"/>
          <w:b/>
        </w:rPr>
        <w:t xml:space="preserve"> work. </w:t>
      </w:r>
      <w:r w:rsidR="003F59BA" w:rsidRPr="003F59BA">
        <w:rPr>
          <w:rFonts w:ascii="Times New Roman" w:eastAsia="Times New Roman" w:hAnsi="Times New Roman" w:cs="Times New Roman"/>
          <w:bCs/>
        </w:rPr>
        <w:t>In most PEMPAL countries, the work in budgeting departments/sectors</w:t>
      </w:r>
      <w:r w:rsidR="003F59BA">
        <w:rPr>
          <w:rFonts w:ascii="Times New Roman" w:eastAsia="Times New Roman" w:hAnsi="Times New Roman" w:cs="Times New Roman"/>
          <w:bCs/>
        </w:rPr>
        <w:t xml:space="preserve"> is reorganized into several teams of staff, based on their necessity, with the primary/A teams continuing to work from the Ministry of Finance facilities in smaller teams and on rotating basis</w:t>
      </w:r>
      <w:r w:rsidR="009D57CD">
        <w:rPr>
          <w:rFonts w:ascii="Times New Roman" w:eastAsia="Times New Roman" w:hAnsi="Times New Roman" w:cs="Times New Roman"/>
          <w:bCs/>
        </w:rPr>
        <w:t xml:space="preserve"> (e.g. in two-week shifts)</w:t>
      </w:r>
      <w:r w:rsidR="003F59BA">
        <w:rPr>
          <w:rFonts w:ascii="Times New Roman" w:eastAsia="Times New Roman" w:hAnsi="Times New Roman" w:cs="Times New Roman"/>
          <w:bCs/>
        </w:rPr>
        <w:t xml:space="preserve">. Secondary teams mostly conduct home based work. </w:t>
      </w:r>
    </w:p>
    <w:p w14:paraId="76F2A639" w14:textId="77777777" w:rsidR="003F59BA" w:rsidRDefault="003F59BA" w:rsidP="00377538">
      <w:pPr>
        <w:pStyle w:val="NoSpacing"/>
        <w:jc w:val="both"/>
        <w:rPr>
          <w:rFonts w:ascii="Times New Roman" w:eastAsia="Times New Roman" w:hAnsi="Times New Roman" w:cs="Times New Roman"/>
          <w:bCs/>
        </w:rPr>
      </w:pPr>
    </w:p>
    <w:p w14:paraId="4D6DEE8C" w14:textId="71F8AF8D" w:rsidR="003F59BA" w:rsidRDefault="00CE2F94" w:rsidP="00377538">
      <w:pPr>
        <w:pStyle w:val="NoSpacing"/>
        <w:jc w:val="both"/>
        <w:rPr>
          <w:rFonts w:ascii="Times New Roman" w:eastAsia="Times New Roman" w:hAnsi="Times New Roman" w:cs="Times New Roman"/>
          <w:bCs/>
        </w:rPr>
      </w:pPr>
      <w:r>
        <w:rPr>
          <w:rFonts w:ascii="Times New Roman" w:eastAsia="Times New Roman" w:hAnsi="Times New Roman" w:cs="Times New Roman"/>
          <w:b/>
        </w:rPr>
        <w:t xml:space="preserve">To support </w:t>
      </w:r>
      <w:r w:rsidR="003B73D9">
        <w:rPr>
          <w:rFonts w:ascii="Times New Roman" w:eastAsia="Times New Roman" w:hAnsi="Times New Roman" w:cs="Times New Roman"/>
          <w:b/>
        </w:rPr>
        <w:t>staff home-based</w:t>
      </w:r>
      <w:r>
        <w:rPr>
          <w:rFonts w:ascii="Times New Roman" w:eastAsia="Times New Roman" w:hAnsi="Times New Roman" w:cs="Times New Roman"/>
          <w:b/>
        </w:rPr>
        <w:t xml:space="preserve"> work, BCOP</w:t>
      </w:r>
      <w:r w:rsidRPr="009D57CD">
        <w:rPr>
          <w:rFonts w:ascii="Times New Roman" w:eastAsia="Times New Roman" w:hAnsi="Times New Roman" w:cs="Times New Roman"/>
          <w:b/>
        </w:rPr>
        <w:t xml:space="preserve"> </w:t>
      </w:r>
      <w:r w:rsidR="003F59BA" w:rsidRPr="009D57CD">
        <w:rPr>
          <w:rFonts w:ascii="Times New Roman" w:eastAsia="Times New Roman" w:hAnsi="Times New Roman" w:cs="Times New Roman"/>
          <w:b/>
        </w:rPr>
        <w:t xml:space="preserve">countries </w:t>
      </w:r>
      <w:r>
        <w:rPr>
          <w:rFonts w:ascii="Times New Roman" w:eastAsia="Times New Roman" w:hAnsi="Times New Roman" w:cs="Times New Roman"/>
          <w:b/>
        </w:rPr>
        <w:t xml:space="preserve">have </w:t>
      </w:r>
      <w:r w:rsidR="003F59BA" w:rsidRPr="009D57CD">
        <w:rPr>
          <w:rFonts w:ascii="Times New Roman" w:eastAsia="Times New Roman" w:hAnsi="Times New Roman" w:cs="Times New Roman"/>
          <w:b/>
        </w:rPr>
        <w:t>facilitat</w:t>
      </w:r>
      <w:r>
        <w:rPr>
          <w:rFonts w:ascii="Times New Roman" w:eastAsia="Times New Roman" w:hAnsi="Times New Roman" w:cs="Times New Roman"/>
          <w:b/>
        </w:rPr>
        <w:t>ed</w:t>
      </w:r>
      <w:r w:rsidR="003F59BA" w:rsidRPr="009D57CD">
        <w:rPr>
          <w:rFonts w:ascii="Times New Roman" w:eastAsia="Times New Roman" w:hAnsi="Times New Roman" w:cs="Times New Roman"/>
          <w:b/>
        </w:rPr>
        <w:t xml:space="preserve"> remote work </w:t>
      </w:r>
      <w:r>
        <w:rPr>
          <w:rFonts w:ascii="Times New Roman" w:eastAsia="Times New Roman" w:hAnsi="Times New Roman" w:cs="Times New Roman"/>
          <w:b/>
        </w:rPr>
        <w:t xml:space="preserve">by </w:t>
      </w:r>
      <w:r w:rsidR="003F59BA" w:rsidRPr="009D57CD">
        <w:rPr>
          <w:rFonts w:ascii="Times New Roman" w:eastAsia="Times New Roman" w:hAnsi="Times New Roman" w:cs="Times New Roman"/>
          <w:b/>
        </w:rPr>
        <w:t>utilizing information communication technologies (ICT)</w:t>
      </w:r>
      <w:r w:rsidR="009D57CD">
        <w:rPr>
          <w:rFonts w:ascii="Times New Roman" w:eastAsia="Times New Roman" w:hAnsi="Times New Roman" w:cs="Times New Roman"/>
          <w:bCs/>
        </w:rPr>
        <w:t>. This includes increased reliance on e-archive, electronic workflow system, enabling documentation and forms to be submitted electronically, and enabling access to programs, software, and electronic databases that were previously accessible only from Ministry of Finance</w:t>
      </w:r>
      <w:r>
        <w:rPr>
          <w:rFonts w:ascii="Times New Roman" w:eastAsia="Times New Roman" w:hAnsi="Times New Roman" w:cs="Times New Roman"/>
          <w:bCs/>
        </w:rPr>
        <w:t xml:space="preserve"> offices</w:t>
      </w:r>
      <w:r w:rsidR="009D57CD">
        <w:rPr>
          <w:rFonts w:ascii="Times New Roman" w:eastAsia="Times New Roman" w:hAnsi="Times New Roman" w:cs="Times New Roman"/>
          <w:bCs/>
        </w:rPr>
        <w:t xml:space="preserve">. </w:t>
      </w:r>
    </w:p>
    <w:p w14:paraId="616C085F" w14:textId="088A10AD" w:rsidR="009D57CD" w:rsidRDefault="009D57CD" w:rsidP="00377538">
      <w:pPr>
        <w:pStyle w:val="NoSpacing"/>
        <w:jc w:val="both"/>
        <w:rPr>
          <w:rFonts w:ascii="Times New Roman" w:eastAsia="Times New Roman" w:hAnsi="Times New Roman" w:cs="Times New Roman"/>
          <w:bCs/>
        </w:rPr>
      </w:pPr>
    </w:p>
    <w:p w14:paraId="1692733E" w14:textId="14D0836C" w:rsidR="009D57CD" w:rsidRDefault="009D57CD" w:rsidP="009D57CD">
      <w:pPr>
        <w:pStyle w:val="NoSpacing"/>
        <w:jc w:val="both"/>
        <w:rPr>
          <w:rFonts w:ascii="Times New Roman" w:eastAsia="Times New Roman" w:hAnsi="Times New Roman" w:cs="Times New Roman"/>
          <w:bCs/>
        </w:rPr>
      </w:pPr>
      <w:r w:rsidRPr="009D57CD">
        <w:rPr>
          <w:rFonts w:ascii="Times New Roman" w:eastAsia="Times New Roman" w:hAnsi="Times New Roman" w:cs="Times New Roman"/>
          <w:b/>
        </w:rPr>
        <w:t xml:space="preserve">Moreover, measures to simplify other procedures </w:t>
      </w:r>
      <w:r w:rsidR="00CE2F94">
        <w:rPr>
          <w:rFonts w:ascii="Times New Roman" w:eastAsia="Times New Roman" w:hAnsi="Times New Roman" w:cs="Times New Roman"/>
          <w:b/>
        </w:rPr>
        <w:t>have been</w:t>
      </w:r>
      <w:r w:rsidRPr="009D57CD">
        <w:rPr>
          <w:rFonts w:ascii="Times New Roman" w:eastAsia="Times New Roman" w:hAnsi="Times New Roman" w:cs="Times New Roman"/>
          <w:b/>
        </w:rPr>
        <w:t xml:space="preserve"> implemented.</w:t>
      </w:r>
      <w:r>
        <w:rPr>
          <w:rFonts w:ascii="Times New Roman" w:eastAsia="Times New Roman" w:hAnsi="Times New Roman" w:cs="Times New Roman"/>
          <w:bCs/>
        </w:rPr>
        <w:t xml:space="preserve"> This for example includes simplification of procurement processes for procuring emergency supplies, as well as additional and/or simplified intergovernmental transfers to subnational level for their implementation of emergency related measures and public services. In addition, in some cases deadlines for submission of 2019 financial reports to Ministry of Finance have been extended.</w:t>
      </w:r>
    </w:p>
    <w:p w14:paraId="33AE64B6" w14:textId="3DD1F7BC" w:rsidR="009D57CD" w:rsidRPr="003F59BA" w:rsidRDefault="009D57CD" w:rsidP="00377538">
      <w:pPr>
        <w:pStyle w:val="NoSpacing"/>
        <w:jc w:val="both"/>
        <w:rPr>
          <w:rFonts w:ascii="Times New Roman" w:eastAsia="Times New Roman" w:hAnsi="Times New Roman" w:cs="Times New Roman"/>
          <w:bCs/>
        </w:rPr>
      </w:pPr>
    </w:p>
    <w:p w14:paraId="4D3C094C" w14:textId="7E5C9F34" w:rsidR="0072612A" w:rsidRDefault="0072612A" w:rsidP="0072612A">
      <w:pPr>
        <w:pStyle w:val="Heading3"/>
        <w:spacing w:before="0" w:afterLines="80" w:after="192" w:line="240" w:lineRule="auto"/>
        <w:rPr>
          <w:rFonts w:ascii="Times New Roman" w:hAnsi="Times New Roman" w:cs="Times New Roman"/>
          <w:b/>
          <w:color w:val="00B0F0"/>
          <w:sz w:val="22"/>
          <w:szCs w:val="22"/>
        </w:rPr>
      </w:pPr>
      <w:bookmarkStart w:id="12" w:name="_Toc38390890"/>
      <w:r w:rsidRPr="0072612A">
        <w:rPr>
          <w:rFonts w:ascii="Times New Roman" w:hAnsi="Times New Roman" w:cs="Times New Roman"/>
          <w:b/>
          <w:color w:val="00B0F0"/>
          <w:sz w:val="22"/>
          <w:szCs w:val="22"/>
        </w:rPr>
        <w:t>Key Risk</w:t>
      </w:r>
      <w:r w:rsidR="003F59BA">
        <w:rPr>
          <w:rFonts w:ascii="Times New Roman" w:hAnsi="Times New Roman" w:cs="Times New Roman"/>
          <w:b/>
          <w:color w:val="00B0F0"/>
          <w:sz w:val="22"/>
          <w:szCs w:val="22"/>
        </w:rPr>
        <w:t>s</w:t>
      </w:r>
      <w:r w:rsidRPr="0072612A">
        <w:rPr>
          <w:rFonts w:ascii="Times New Roman" w:hAnsi="Times New Roman" w:cs="Times New Roman"/>
          <w:b/>
          <w:color w:val="00B0F0"/>
          <w:sz w:val="22"/>
          <w:szCs w:val="22"/>
        </w:rPr>
        <w:t xml:space="preserve"> and Opportunities</w:t>
      </w:r>
      <w:bookmarkEnd w:id="12"/>
      <w:r w:rsidRPr="0072612A">
        <w:rPr>
          <w:rFonts w:ascii="Times New Roman" w:hAnsi="Times New Roman" w:cs="Times New Roman"/>
          <w:b/>
          <w:color w:val="00B0F0"/>
          <w:sz w:val="22"/>
          <w:szCs w:val="22"/>
        </w:rPr>
        <w:t xml:space="preserve"> </w:t>
      </w:r>
    </w:p>
    <w:p w14:paraId="7E8EC3B8" w14:textId="156F3BFD" w:rsidR="00275739" w:rsidRPr="00A62A2B" w:rsidRDefault="003B73D9" w:rsidP="00743F03">
      <w:pPr>
        <w:jc w:val="both"/>
        <w:rPr>
          <w:b/>
          <w:bCs/>
          <w:sz w:val="22"/>
          <w:szCs w:val="22"/>
        </w:rPr>
      </w:pPr>
      <w:r>
        <w:rPr>
          <w:b/>
          <w:bCs/>
          <w:sz w:val="22"/>
          <w:szCs w:val="22"/>
        </w:rPr>
        <w:t xml:space="preserve">Participants </w:t>
      </w:r>
      <w:r w:rsidR="00E71C77" w:rsidRPr="00E71C77">
        <w:rPr>
          <w:b/>
          <w:bCs/>
          <w:sz w:val="22"/>
          <w:szCs w:val="22"/>
        </w:rPr>
        <w:t>identified several risks related to budgeting work amidst Covid-19 crisis</w:t>
      </w:r>
      <w:r w:rsidR="00743F03">
        <w:rPr>
          <w:b/>
          <w:bCs/>
          <w:sz w:val="22"/>
          <w:szCs w:val="22"/>
        </w:rPr>
        <w:t xml:space="preserve">, aside </w:t>
      </w:r>
      <w:r w:rsidR="00A62A2B">
        <w:rPr>
          <w:b/>
          <w:bCs/>
          <w:sz w:val="22"/>
          <w:szCs w:val="22"/>
        </w:rPr>
        <w:t>from the</w:t>
      </w:r>
      <w:r w:rsidR="00743F03">
        <w:rPr>
          <w:b/>
          <w:bCs/>
          <w:sz w:val="22"/>
          <w:szCs w:val="22"/>
        </w:rPr>
        <w:t xml:space="preserve"> most obvious risks of fiscal sustainability and debt management</w:t>
      </w:r>
      <w:r w:rsidR="00A62A2B">
        <w:rPr>
          <w:b/>
          <w:bCs/>
          <w:sz w:val="22"/>
          <w:szCs w:val="22"/>
        </w:rPr>
        <w:t xml:space="preserve"> that will be in the center of PFM in the aftermath of the pandemic. </w:t>
      </w:r>
      <w:r w:rsidR="00E71C77">
        <w:rPr>
          <w:sz w:val="22"/>
          <w:szCs w:val="22"/>
        </w:rPr>
        <w:t xml:space="preserve">As noted above, </w:t>
      </w:r>
      <w:r w:rsidR="001A3A53">
        <w:rPr>
          <w:bCs/>
          <w:sz w:val="22"/>
          <w:szCs w:val="22"/>
        </w:rPr>
        <w:t xml:space="preserve">there are procedural budgeting challenges related to </w:t>
      </w:r>
      <w:r w:rsidR="00CE2F94">
        <w:rPr>
          <w:bCs/>
          <w:sz w:val="22"/>
          <w:szCs w:val="22"/>
        </w:rPr>
        <w:t xml:space="preserve">the </w:t>
      </w:r>
      <w:r w:rsidR="001A3A53">
        <w:rPr>
          <w:bCs/>
          <w:sz w:val="22"/>
          <w:szCs w:val="22"/>
        </w:rPr>
        <w:t>l</w:t>
      </w:r>
      <w:r w:rsidR="00CE2F94">
        <w:rPr>
          <w:bCs/>
          <w:sz w:val="22"/>
          <w:szCs w:val="22"/>
        </w:rPr>
        <w:t>ength of</w:t>
      </w:r>
      <w:r w:rsidR="001A3A53">
        <w:rPr>
          <w:bCs/>
          <w:sz w:val="22"/>
          <w:szCs w:val="22"/>
        </w:rPr>
        <w:t xml:space="preserve"> time needed for emergent budget restructuring and reallocation to go through executive and legislation adoption procedures.</w:t>
      </w:r>
      <w:r w:rsidR="00E71C77">
        <w:rPr>
          <w:bCs/>
          <w:sz w:val="22"/>
          <w:szCs w:val="22"/>
        </w:rPr>
        <w:t xml:space="preserve"> As a result, in some countries there are emergency measures enforced to simplify the adoption procedures, including in some cases by circumventing the parliamentary procedures, which may pose a risk. In this respect, a careful balance must be found to try to ensure faster adoption procedures while simultaneously ensuring some legislative oversight remains in force. Another risk connected to this is the risk of decreased transparency towards the public and citizen engagement amidst the urgency in designing and implementing emergency measures</w:t>
      </w:r>
      <w:r w:rsidR="00D65FFE">
        <w:rPr>
          <w:bCs/>
          <w:sz w:val="22"/>
          <w:szCs w:val="22"/>
        </w:rPr>
        <w:t xml:space="preserve"> and the excessive work burden o</w:t>
      </w:r>
      <w:r w:rsidR="00CE2F94">
        <w:rPr>
          <w:bCs/>
          <w:sz w:val="22"/>
          <w:szCs w:val="22"/>
        </w:rPr>
        <w:t>f</w:t>
      </w:r>
      <w:r w:rsidR="00D65FFE">
        <w:rPr>
          <w:bCs/>
          <w:sz w:val="22"/>
          <w:szCs w:val="22"/>
        </w:rPr>
        <w:t xml:space="preserve"> emergency measures </w:t>
      </w:r>
      <w:r w:rsidR="00CE2F94">
        <w:rPr>
          <w:bCs/>
          <w:sz w:val="22"/>
          <w:szCs w:val="22"/>
        </w:rPr>
        <w:t>on</w:t>
      </w:r>
      <w:r w:rsidR="00D65FFE">
        <w:rPr>
          <w:bCs/>
          <w:sz w:val="22"/>
          <w:szCs w:val="22"/>
        </w:rPr>
        <w:t xml:space="preserve"> the Ministry of Finance staff, which may not leave enough time to be devoted to publishing all information and engaging citizens.</w:t>
      </w:r>
      <w:r w:rsidR="00E71C77">
        <w:rPr>
          <w:bCs/>
          <w:sz w:val="22"/>
          <w:szCs w:val="22"/>
        </w:rPr>
        <w:t xml:space="preserve"> As discussed above under GIFT recommendations, it is important to ensure public oversight and adequate communication with the public</w:t>
      </w:r>
      <w:r w:rsidR="00D65FFE">
        <w:rPr>
          <w:bCs/>
          <w:sz w:val="22"/>
          <w:szCs w:val="22"/>
        </w:rPr>
        <w:t xml:space="preserve">, noting that information and data that need to be provided publicly can be prioritized so that most important information is shared in timely matter. In terms of citizen engagement, some good examples shared by PEMPAL countries included engagement of academia, CSOs, and private sector representatives in governments’ task forces that propose emergency measures, as well as hotlines being opened to provide answers to </w:t>
      </w:r>
      <w:r w:rsidR="00CE2F94">
        <w:rPr>
          <w:bCs/>
          <w:sz w:val="22"/>
          <w:szCs w:val="22"/>
        </w:rPr>
        <w:t xml:space="preserve">the </w:t>
      </w:r>
      <w:r w:rsidR="00D65FFE">
        <w:rPr>
          <w:bCs/>
          <w:sz w:val="22"/>
          <w:szCs w:val="22"/>
        </w:rPr>
        <w:t>private sector on how they can apply for subsidies and other measures. Moreover, there are risks related to</w:t>
      </w:r>
      <w:r w:rsidR="008E01F5">
        <w:rPr>
          <w:bCs/>
          <w:sz w:val="22"/>
          <w:szCs w:val="22"/>
        </w:rPr>
        <w:t xml:space="preserve"> </w:t>
      </w:r>
      <w:r w:rsidR="00CE2F94">
        <w:rPr>
          <w:bCs/>
          <w:sz w:val="22"/>
          <w:szCs w:val="22"/>
        </w:rPr>
        <w:t xml:space="preserve">the </w:t>
      </w:r>
      <w:r w:rsidR="0037565A">
        <w:rPr>
          <w:bCs/>
          <w:sz w:val="22"/>
          <w:szCs w:val="22"/>
        </w:rPr>
        <w:t xml:space="preserve">significant increase in requests for additional/reallocated budgets from </w:t>
      </w:r>
      <w:r w:rsidR="008E01F5">
        <w:rPr>
          <w:bCs/>
          <w:sz w:val="22"/>
          <w:szCs w:val="22"/>
        </w:rPr>
        <w:t>spending units</w:t>
      </w:r>
      <w:r w:rsidR="00743F03">
        <w:rPr>
          <w:bCs/>
          <w:sz w:val="22"/>
          <w:szCs w:val="22"/>
        </w:rPr>
        <w:t>, subnational government units, and/or extrabudgetary units</w:t>
      </w:r>
      <w:r w:rsidR="008E01F5">
        <w:rPr>
          <w:bCs/>
          <w:sz w:val="22"/>
          <w:szCs w:val="22"/>
        </w:rPr>
        <w:t>.</w:t>
      </w:r>
      <w:r w:rsidR="0037565A">
        <w:rPr>
          <w:bCs/>
          <w:sz w:val="22"/>
          <w:szCs w:val="22"/>
        </w:rPr>
        <w:t xml:space="preserve">  Given </w:t>
      </w:r>
      <w:r w:rsidR="008E01F5">
        <w:rPr>
          <w:bCs/>
          <w:sz w:val="22"/>
          <w:szCs w:val="22"/>
        </w:rPr>
        <w:t>reduced staff and availab</w:t>
      </w:r>
      <w:r w:rsidR="0037565A">
        <w:rPr>
          <w:bCs/>
          <w:sz w:val="22"/>
          <w:szCs w:val="22"/>
        </w:rPr>
        <w:t>ility of</w:t>
      </w:r>
      <w:r w:rsidR="008E01F5">
        <w:rPr>
          <w:bCs/>
          <w:sz w:val="22"/>
          <w:szCs w:val="22"/>
        </w:rPr>
        <w:t xml:space="preserve"> time of priority staff in budgeting departments/sectors to conduct </w:t>
      </w:r>
      <w:r w:rsidR="0037565A">
        <w:rPr>
          <w:bCs/>
          <w:sz w:val="22"/>
          <w:szCs w:val="22"/>
        </w:rPr>
        <w:t xml:space="preserve">the </w:t>
      </w:r>
      <w:r w:rsidR="008E01F5">
        <w:rPr>
          <w:bCs/>
          <w:sz w:val="22"/>
          <w:szCs w:val="22"/>
        </w:rPr>
        <w:t xml:space="preserve">usual detailed analyses of </w:t>
      </w:r>
      <w:r w:rsidR="0037565A">
        <w:rPr>
          <w:bCs/>
          <w:sz w:val="22"/>
          <w:szCs w:val="22"/>
        </w:rPr>
        <w:t xml:space="preserve">these requests, there is a high risk that many will be approved without proper scrutiny, leading to </w:t>
      </w:r>
      <w:r w:rsidR="00024B9E">
        <w:rPr>
          <w:bCs/>
          <w:sz w:val="22"/>
          <w:szCs w:val="22"/>
        </w:rPr>
        <w:t xml:space="preserve">a </w:t>
      </w:r>
      <w:r w:rsidR="0037565A">
        <w:rPr>
          <w:bCs/>
          <w:sz w:val="22"/>
          <w:szCs w:val="22"/>
        </w:rPr>
        <w:t xml:space="preserve">significant increase in budgets. </w:t>
      </w:r>
      <w:r w:rsidR="00743F03">
        <w:rPr>
          <w:bCs/>
          <w:sz w:val="22"/>
          <w:szCs w:val="22"/>
        </w:rPr>
        <w:t xml:space="preserve">Finally, in </w:t>
      </w:r>
      <w:r w:rsidR="0037565A">
        <w:rPr>
          <w:bCs/>
          <w:sz w:val="22"/>
          <w:szCs w:val="22"/>
        </w:rPr>
        <w:t xml:space="preserve">the medium </w:t>
      </w:r>
      <w:r w:rsidR="00743F03">
        <w:rPr>
          <w:bCs/>
          <w:sz w:val="22"/>
          <w:szCs w:val="22"/>
        </w:rPr>
        <w:t>term, there are risks related to government strategies and national goals and performance targets needing to be revised and extended in terms of targeted timelines to adjust for post-</w:t>
      </w:r>
      <w:proofErr w:type="spellStart"/>
      <w:r w:rsidR="00743F03">
        <w:rPr>
          <w:bCs/>
          <w:sz w:val="22"/>
          <w:szCs w:val="22"/>
        </w:rPr>
        <w:t>Covid</w:t>
      </w:r>
      <w:proofErr w:type="spellEnd"/>
      <w:r w:rsidR="00743F03">
        <w:rPr>
          <w:bCs/>
          <w:sz w:val="22"/>
          <w:szCs w:val="22"/>
        </w:rPr>
        <w:t xml:space="preserve"> realities. </w:t>
      </w:r>
    </w:p>
    <w:p w14:paraId="14DCC2FA" w14:textId="7430C03E" w:rsidR="00743F03" w:rsidRDefault="00743F03" w:rsidP="00743F03">
      <w:pPr>
        <w:jc w:val="both"/>
        <w:rPr>
          <w:bCs/>
          <w:sz w:val="22"/>
          <w:szCs w:val="22"/>
        </w:rPr>
      </w:pPr>
    </w:p>
    <w:p w14:paraId="0D4BF90C" w14:textId="39F9F67F" w:rsidR="00743F03" w:rsidRDefault="003B73D9" w:rsidP="00743F03">
      <w:pPr>
        <w:jc w:val="both"/>
        <w:rPr>
          <w:bCs/>
          <w:sz w:val="22"/>
          <w:szCs w:val="22"/>
        </w:rPr>
      </w:pPr>
      <w:r>
        <w:rPr>
          <w:b/>
          <w:sz w:val="22"/>
          <w:szCs w:val="22"/>
        </w:rPr>
        <w:t xml:space="preserve">Participants </w:t>
      </w:r>
      <w:r w:rsidR="00743F03" w:rsidRPr="00743F03">
        <w:rPr>
          <w:b/>
          <w:sz w:val="22"/>
          <w:szCs w:val="22"/>
        </w:rPr>
        <w:t xml:space="preserve">also noted that the crisis related to </w:t>
      </w:r>
      <w:r w:rsidR="0037565A">
        <w:rPr>
          <w:b/>
          <w:sz w:val="22"/>
          <w:szCs w:val="22"/>
        </w:rPr>
        <w:t xml:space="preserve">the </w:t>
      </w:r>
      <w:r w:rsidR="00743F03" w:rsidRPr="00743F03">
        <w:rPr>
          <w:b/>
          <w:sz w:val="22"/>
          <w:szCs w:val="22"/>
        </w:rPr>
        <w:t xml:space="preserve">Covid-19 emergency provides important opportunities for </w:t>
      </w:r>
      <w:r w:rsidR="00A62A2B">
        <w:rPr>
          <w:b/>
          <w:sz w:val="22"/>
          <w:szCs w:val="22"/>
        </w:rPr>
        <w:t xml:space="preserve">improving </w:t>
      </w:r>
      <w:r w:rsidR="00743F03" w:rsidRPr="00743F03">
        <w:rPr>
          <w:b/>
          <w:sz w:val="22"/>
          <w:szCs w:val="22"/>
        </w:rPr>
        <w:t>PFM</w:t>
      </w:r>
      <w:r w:rsidR="00A62A2B">
        <w:rPr>
          <w:b/>
          <w:sz w:val="22"/>
          <w:szCs w:val="22"/>
        </w:rPr>
        <w:t xml:space="preserve"> business processes</w:t>
      </w:r>
      <w:r w:rsidR="00743F03" w:rsidRPr="00743F03">
        <w:rPr>
          <w:b/>
          <w:sz w:val="22"/>
          <w:szCs w:val="22"/>
        </w:rPr>
        <w:t xml:space="preserve"> and more broadly public sector improvements</w:t>
      </w:r>
      <w:r w:rsidR="00743F03">
        <w:rPr>
          <w:bCs/>
          <w:sz w:val="22"/>
          <w:szCs w:val="22"/>
        </w:rPr>
        <w:t>. This most obviously include</w:t>
      </w:r>
      <w:r w:rsidR="00A62A2B">
        <w:rPr>
          <w:bCs/>
          <w:sz w:val="22"/>
          <w:szCs w:val="22"/>
        </w:rPr>
        <w:t xml:space="preserve">s accelerated progress towards digitalization of PFM and more broadly public sector working procedures. Sizable additional employment of IT experts is already taking place in some PEMPAL countries. </w:t>
      </w:r>
      <w:r w:rsidR="0037565A">
        <w:rPr>
          <w:bCs/>
          <w:sz w:val="22"/>
          <w:szCs w:val="22"/>
        </w:rPr>
        <w:t>The s</w:t>
      </w:r>
      <w:r w:rsidR="00A62A2B">
        <w:rPr>
          <w:bCs/>
          <w:sz w:val="22"/>
          <w:szCs w:val="22"/>
        </w:rPr>
        <w:t xml:space="preserve">witch to extended e-governance and provision of electronic services for citizens is also expected, as well as </w:t>
      </w:r>
      <w:r w:rsidR="0037565A">
        <w:rPr>
          <w:bCs/>
          <w:sz w:val="22"/>
          <w:szCs w:val="22"/>
        </w:rPr>
        <w:t xml:space="preserve">the </w:t>
      </w:r>
      <w:r w:rsidR="00A62A2B">
        <w:rPr>
          <w:bCs/>
          <w:sz w:val="22"/>
          <w:szCs w:val="22"/>
        </w:rPr>
        <w:t xml:space="preserve">overall simplification of the processes of citizens’ application for public </w:t>
      </w:r>
      <w:r w:rsidR="00A62A2B">
        <w:rPr>
          <w:bCs/>
          <w:sz w:val="22"/>
          <w:szCs w:val="22"/>
        </w:rPr>
        <w:lastRenderedPageBreak/>
        <w:t>services. As an example, submission of applications for elementary school</w:t>
      </w:r>
      <w:r w:rsidR="0037565A">
        <w:rPr>
          <w:bCs/>
          <w:sz w:val="22"/>
          <w:szCs w:val="22"/>
        </w:rPr>
        <w:t>s</w:t>
      </w:r>
      <w:r w:rsidR="00A62A2B">
        <w:rPr>
          <w:bCs/>
          <w:sz w:val="22"/>
          <w:szCs w:val="22"/>
        </w:rPr>
        <w:t xml:space="preserve"> </w:t>
      </w:r>
      <w:r w:rsidR="0037565A">
        <w:rPr>
          <w:bCs/>
          <w:sz w:val="22"/>
          <w:szCs w:val="22"/>
        </w:rPr>
        <w:t>have been</w:t>
      </w:r>
      <w:r w:rsidR="00A62A2B">
        <w:rPr>
          <w:bCs/>
          <w:sz w:val="22"/>
          <w:szCs w:val="22"/>
        </w:rPr>
        <w:t xml:space="preserve"> simplified and is conducted electronically</w:t>
      </w:r>
      <w:r w:rsidR="0037565A">
        <w:rPr>
          <w:bCs/>
          <w:sz w:val="22"/>
          <w:szCs w:val="22"/>
        </w:rPr>
        <w:t xml:space="preserve"> in one BCOP country</w:t>
      </w:r>
      <w:r w:rsidR="00A62A2B">
        <w:rPr>
          <w:bCs/>
          <w:sz w:val="22"/>
          <w:szCs w:val="22"/>
        </w:rPr>
        <w:t xml:space="preserve">. An additional opportunity in the long term may be </w:t>
      </w:r>
      <w:r w:rsidR="003C6090">
        <w:rPr>
          <w:bCs/>
          <w:sz w:val="22"/>
          <w:szCs w:val="22"/>
        </w:rPr>
        <w:t xml:space="preserve">that lessons learned from the reorganization of work </w:t>
      </w:r>
      <w:r w:rsidR="0037565A">
        <w:rPr>
          <w:bCs/>
          <w:sz w:val="22"/>
          <w:szCs w:val="22"/>
        </w:rPr>
        <w:t xml:space="preserve">conducted due to the crisis </w:t>
      </w:r>
      <w:r w:rsidR="003C6090">
        <w:rPr>
          <w:bCs/>
          <w:sz w:val="22"/>
          <w:szCs w:val="22"/>
        </w:rPr>
        <w:t xml:space="preserve">may </w:t>
      </w:r>
      <w:r w:rsidR="0037565A">
        <w:rPr>
          <w:bCs/>
          <w:sz w:val="22"/>
          <w:szCs w:val="22"/>
        </w:rPr>
        <w:t xml:space="preserve">highlight </w:t>
      </w:r>
      <w:r w:rsidR="003C6090">
        <w:rPr>
          <w:bCs/>
          <w:sz w:val="22"/>
          <w:szCs w:val="22"/>
        </w:rPr>
        <w:t xml:space="preserve">which </w:t>
      </w:r>
      <w:r w:rsidR="0037565A">
        <w:rPr>
          <w:bCs/>
          <w:sz w:val="22"/>
          <w:szCs w:val="22"/>
        </w:rPr>
        <w:t>areas</w:t>
      </w:r>
      <w:r w:rsidR="003C6090">
        <w:rPr>
          <w:bCs/>
          <w:sz w:val="22"/>
          <w:szCs w:val="22"/>
        </w:rPr>
        <w:t xml:space="preserve"> of ministries/departments are understaffed and in which </w:t>
      </w:r>
      <w:r w:rsidR="0037565A">
        <w:rPr>
          <w:bCs/>
          <w:sz w:val="22"/>
          <w:szCs w:val="22"/>
        </w:rPr>
        <w:t xml:space="preserve">areas </w:t>
      </w:r>
      <w:r w:rsidR="003C6090">
        <w:rPr>
          <w:bCs/>
          <w:sz w:val="22"/>
          <w:szCs w:val="22"/>
        </w:rPr>
        <w:t xml:space="preserve">potential redundancies </w:t>
      </w:r>
      <w:r w:rsidR="0037565A">
        <w:rPr>
          <w:bCs/>
          <w:sz w:val="22"/>
          <w:szCs w:val="22"/>
        </w:rPr>
        <w:t>could be made</w:t>
      </w:r>
      <w:r w:rsidR="00E339EB">
        <w:rPr>
          <w:bCs/>
          <w:sz w:val="22"/>
          <w:szCs w:val="22"/>
        </w:rPr>
        <w:t>, which may be useful in</w:t>
      </w:r>
      <w:r w:rsidR="003C6090">
        <w:rPr>
          <w:bCs/>
          <w:sz w:val="22"/>
          <w:szCs w:val="22"/>
        </w:rPr>
        <w:t xml:space="preserve"> </w:t>
      </w:r>
      <w:r w:rsidR="00E339EB">
        <w:rPr>
          <w:bCs/>
          <w:sz w:val="22"/>
          <w:szCs w:val="22"/>
        </w:rPr>
        <w:t xml:space="preserve">future </w:t>
      </w:r>
      <w:r w:rsidR="003C6090">
        <w:rPr>
          <w:bCs/>
          <w:sz w:val="22"/>
          <w:szCs w:val="22"/>
        </w:rPr>
        <w:t>public administr</w:t>
      </w:r>
      <w:r w:rsidR="00E339EB">
        <w:rPr>
          <w:bCs/>
          <w:sz w:val="22"/>
          <w:szCs w:val="22"/>
        </w:rPr>
        <w:t>ation restructuring</w:t>
      </w:r>
      <w:r w:rsidR="0037565A">
        <w:rPr>
          <w:bCs/>
          <w:sz w:val="22"/>
          <w:szCs w:val="22"/>
        </w:rPr>
        <w:t xml:space="preserve"> efforts</w:t>
      </w:r>
      <w:r w:rsidR="00E339EB">
        <w:rPr>
          <w:bCs/>
          <w:sz w:val="22"/>
          <w:szCs w:val="22"/>
        </w:rPr>
        <w:t xml:space="preserve">. Finally, the crisis can reveal/reconfirm inefficiencies and weaknesses of certain public services, which may be useful to inform future improvements in government spending effectiveness within performance budgeting efforts. </w:t>
      </w:r>
    </w:p>
    <w:p w14:paraId="33F04065" w14:textId="77777777" w:rsidR="00275739" w:rsidRPr="00275739" w:rsidRDefault="00275739" w:rsidP="00275739">
      <w:pPr>
        <w:rPr>
          <w:b/>
          <w:bCs/>
        </w:rPr>
      </w:pPr>
    </w:p>
    <w:p w14:paraId="7CE4357E" w14:textId="7887AA0E" w:rsidR="00073961" w:rsidRPr="002659A3" w:rsidRDefault="00073961" w:rsidP="00A35244">
      <w:pPr>
        <w:pStyle w:val="Heading1"/>
        <w:numPr>
          <w:ilvl w:val="0"/>
          <w:numId w:val="1"/>
        </w:numPr>
        <w:spacing w:before="0" w:afterLines="80" w:after="192" w:line="240" w:lineRule="auto"/>
        <w:ind w:left="540" w:hanging="450"/>
        <w:rPr>
          <w:rFonts w:ascii="Times New Roman" w:eastAsia="Times New Roman" w:hAnsi="Times New Roman" w:cs="Times New Roman"/>
          <w:b/>
          <w:sz w:val="22"/>
          <w:szCs w:val="22"/>
          <w:lang w:eastAsia="bs-Latn-BA"/>
        </w:rPr>
      </w:pPr>
      <w:bookmarkStart w:id="13" w:name="_Toc38390891"/>
      <w:r>
        <w:rPr>
          <w:rFonts w:ascii="Times New Roman" w:eastAsia="Times New Roman" w:hAnsi="Times New Roman" w:cs="Times New Roman"/>
          <w:b/>
          <w:sz w:val="22"/>
          <w:szCs w:val="22"/>
          <w:lang w:eastAsia="bs-Latn-BA"/>
        </w:rPr>
        <w:t xml:space="preserve">Online Resources of International Organizations Relevant for </w:t>
      </w:r>
      <w:r w:rsidR="00A35244">
        <w:rPr>
          <w:rFonts w:ascii="Times New Roman" w:eastAsia="Times New Roman" w:hAnsi="Times New Roman" w:cs="Times New Roman"/>
          <w:b/>
          <w:sz w:val="22"/>
          <w:szCs w:val="22"/>
          <w:lang w:eastAsia="bs-Latn-BA"/>
        </w:rPr>
        <w:t>PFM</w:t>
      </w:r>
      <w:r>
        <w:rPr>
          <w:rFonts w:ascii="Times New Roman" w:eastAsia="Times New Roman" w:hAnsi="Times New Roman" w:cs="Times New Roman"/>
          <w:b/>
          <w:sz w:val="22"/>
          <w:szCs w:val="22"/>
          <w:lang w:eastAsia="bs-Latn-BA"/>
        </w:rPr>
        <w:t xml:space="preserve"> Response to Covid-19 Emergency</w:t>
      </w:r>
      <w:bookmarkEnd w:id="13"/>
      <w:r>
        <w:rPr>
          <w:rFonts w:ascii="Times New Roman" w:eastAsia="Times New Roman" w:hAnsi="Times New Roman" w:cs="Times New Roman"/>
          <w:b/>
          <w:sz w:val="22"/>
          <w:szCs w:val="22"/>
          <w:lang w:eastAsia="bs-Latn-BA"/>
        </w:rPr>
        <w:t xml:space="preserve"> </w:t>
      </w:r>
    </w:p>
    <w:p w14:paraId="6D2D7923" w14:textId="55FC7B41" w:rsidR="009877CF" w:rsidRPr="00275739" w:rsidRDefault="009877CF" w:rsidP="003E727E">
      <w:pPr>
        <w:pStyle w:val="ListParagraph"/>
        <w:numPr>
          <w:ilvl w:val="0"/>
          <w:numId w:val="15"/>
        </w:numPr>
        <w:spacing w:before="160" w:afterLines="80" w:after="192"/>
        <w:ind w:left="284" w:hanging="142"/>
        <w:contextualSpacing w:val="0"/>
        <w:rPr>
          <w:sz w:val="22"/>
          <w:szCs w:val="22"/>
        </w:rPr>
      </w:pPr>
      <w:r w:rsidRPr="00275739">
        <w:rPr>
          <w:sz w:val="22"/>
          <w:szCs w:val="22"/>
        </w:rPr>
        <w:t>World Bank</w:t>
      </w:r>
      <w:r w:rsidR="00275739" w:rsidRPr="00275739">
        <w:rPr>
          <w:sz w:val="22"/>
          <w:szCs w:val="22"/>
        </w:rPr>
        <w:t xml:space="preserve"> Advice and Response</w:t>
      </w:r>
      <w:r w:rsidRPr="00275739">
        <w:rPr>
          <w:sz w:val="22"/>
          <w:szCs w:val="22"/>
        </w:rPr>
        <w:t xml:space="preserve">: </w:t>
      </w:r>
      <w:hyperlink r:id="rId12" w:history="1">
        <w:r w:rsidRPr="00275739">
          <w:rPr>
            <w:rStyle w:val="Hyperlink"/>
            <w:sz w:val="22"/>
            <w:szCs w:val="22"/>
          </w:rPr>
          <w:t>https://www.worldbank.org/en/who-we-are/news/coronavirus-</w:t>
        </w:r>
      </w:hyperlink>
      <w:hyperlink r:id="rId13" w:history="1">
        <w:r w:rsidRPr="00275739">
          <w:rPr>
            <w:rStyle w:val="Hyperlink"/>
            <w:sz w:val="22"/>
            <w:szCs w:val="22"/>
          </w:rPr>
          <w:t>covid19</w:t>
        </w:r>
      </w:hyperlink>
      <w:r w:rsidRPr="00275739">
        <w:rPr>
          <w:sz w:val="22"/>
          <w:szCs w:val="22"/>
        </w:rPr>
        <w:t xml:space="preserve"> </w:t>
      </w:r>
    </w:p>
    <w:p w14:paraId="24986646" w14:textId="6475FFDC" w:rsidR="00275739" w:rsidRPr="00275739" w:rsidRDefault="00275739" w:rsidP="003E727E">
      <w:pPr>
        <w:pStyle w:val="ListParagraph"/>
        <w:numPr>
          <w:ilvl w:val="0"/>
          <w:numId w:val="15"/>
        </w:numPr>
        <w:spacing w:before="160" w:afterLines="80" w:after="192"/>
        <w:ind w:left="284" w:hanging="142"/>
        <w:contextualSpacing w:val="0"/>
        <w:rPr>
          <w:sz w:val="22"/>
          <w:szCs w:val="22"/>
        </w:rPr>
      </w:pPr>
      <w:r w:rsidRPr="00275739">
        <w:rPr>
          <w:sz w:val="22"/>
          <w:szCs w:val="22"/>
        </w:rPr>
        <w:t>World Bank</w:t>
      </w:r>
      <w:r w:rsidR="003E727E">
        <w:rPr>
          <w:sz w:val="22"/>
          <w:szCs w:val="22"/>
        </w:rPr>
        <w:t xml:space="preserve">: </w:t>
      </w:r>
      <w:r w:rsidRPr="00275739">
        <w:rPr>
          <w:sz w:val="22"/>
          <w:szCs w:val="22"/>
        </w:rPr>
        <w:t xml:space="preserve">Planning for the </w:t>
      </w:r>
      <w:r w:rsidR="003E727E">
        <w:rPr>
          <w:sz w:val="22"/>
          <w:szCs w:val="22"/>
        </w:rPr>
        <w:t>E</w:t>
      </w:r>
      <w:r w:rsidRPr="00275739">
        <w:rPr>
          <w:sz w:val="22"/>
          <w:szCs w:val="22"/>
        </w:rPr>
        <w:t xml:space="preserve">conomic </w:t>
      </w:r>
      <w:r w:rsidR="003E727E">
        <w:rPr>
          <w:sz w:val="22"/>
          <w:szCs w:val="22"/>
        </w:rPr>
        <w:t>R</w:t>
      </w:r>
      <w:r w:rsidRPr="00275739">
        <w:rPr>
          <w:sz w:val="22"/>
          <w:szCs w:val="22"/>
        </w:rPr>
        <w:t xml:space="preserve">ecovery from COVID-19: A </w:t>
      </w:r>
      <w:r w:rsidR="003E727E">
        <w:rPr>
          <w:sz w:val="22"/>
          <w:szCs w:val="22"/>
        </w:rPr>
        <w:t>S</w:t>
      </w:r>
      <w:r w:rsidRPr="00275739">
        <w:rPr>
          <w:sz w:val="22"/>
          <w:szCs w:val="22"/>
        </w:rPr>
        <w:t xml:space="preserve">ustainability </w:t>
      </w:r>
      <w:r w:rsidR="003E727E">
        <w:rPr>
          <w:sz w:val="22"/>
          <w:szCs w:val="22"/>
        </w:rPr>
        <w:t>C</w:t>
      </w:r>
      <w:r w:rsidRPr="00275739">
        <w:rPr>
          <w:sz w:val="22"/>
          <w:szCs w:val="22"/>
        </w:rPr>
        <w:t xml:space="preserve">hecklist for </w:t>
      </w:r>
      <w:r w:rsidR="003E727E">
        <w:rPr>
          <w:sz w:val="22"/>
          <w:szCs w:val="22"/>
        </w:rPr>
        <w:t>P</w:t>
      </w:r>
      <w:r w:rsidRPr="00275739">
        <w:rPr>
          <w:sz w:val="22"/>
          <w:szCs w:val="22"/>
        </w:rPr>
        <w:t>olicymakers</w:t>
      </w:r>
      <w:r w:rsidR="003E727E">
        <w:rPr>
          <w:sz w:val="22"/>
          <w:szCs w:val="22"/>
        </w:rPr>
        <w:t>:</w:t>
      </w:r>
      <w:r w:rsidRPr="00275739">
        <w:rPr>
          <w:sz w:val="22"/>
          <w:szCs w:val="22"/>
        </w:rPr>
        <w:t xml:space="preserve"> </w:t>
      </w:r>
      <w:hyperlink r:id="rId14" w:history="1">
        <w:r w:rsidRPr="00275739">
          <w:rPr>
            <w:rStyle w:val="Hyperlink"/>
            <w:sz w:val="22"/>
            <w:szCs w:val="22"/>
          </w:rPr>
          <w:t>https://blogs.worldbank.org/climatechange/planning-economic-recovery-covid-19-coronavirus-sustainability-checklist-policymakers</w:t>
        </w:r>
      </w:hyperlink>
    </w:p>
    <w:p w14:paraId="421F6651" w14:textId="5AE0E740" w:rsidR="009877CF" w:rsidRPr="00275739" w:rsidRDefault="009877CF" w:rsidP="003E727E">
      <w:pPr>
        <w:pStyle w:val="ListParagraph"/>
        <w:numPr>
          <w:ilvl w:val="0"/>
          <w:numId w:val="15"/>
        </w:numPr>
        <w:spacing w:before="160" w:afterLines="80" w:after="192"/>
        <w:ind w:left="284" w:hanging="142"/>
        <w:contextualSpacing w:val="0"/>
        <w:rPr>
          <w:sz w:val="22"/>
          <w:szCs w:val="22"/>
        </w:rPr>
      </w:pPr>
      <w:r w:rsidRPr="00275739">
        <w:rPr>
          <w:sz w:val="22"/>
          <w:szCs w:val="22"/>
        </w:rPr>
        <w:t xml:space="preserve">IMF Global Policy Tracker: </w:t>
      </w:r>
      <w:hyperlink r:id="rId15" w:history="1">
        <w:r w:rsidRPr="00275739">
          <w:rPr>
            <w:rStyle w:val="Hyperlink"/>
            <w:sz w:val="22"/>
            <w:szCs w:val="22"/>
          </w:rPr>
          <w:t>https://www.imf.org/en/Topics/imf-and-covid19/Policy-Responses-to-COVID-19</w:t>
        </w:r>
      </w:hyperlink>
    </w:p>
    <w:p w14:paraId="17165BD8" w14:textId="53614763" w:rsidR="00CD5B18" w:rsidRPr="00275739" w:rsidRDefault="00CD5B18" w:rsidP="003E727E">
      <w:pPr>
        <w:pStyle w:val="ListParagraph"/>
        <w:numPr>
          <w:ilvl w:val="0"/>
          <w:numId w:val="15"/>
        </w:numPr>
        <w:spacing w:before="160" w:afterLines="80" w:after="192"/>
        <w:ind w:left="284" w:hanging="142"/>
        <w:contextualSpacing w:val="0"/>
        <w:rPr>
          <w:sz w:val="22"/>
          <w:szCs w:val="22"/>
        </w:rPr>
      </w:pPr>
      <w:r w:rsidRPr="00275739">
        <w:rPr>
          <w:sz w:val="22"/>
          <w:szCs w:val="22"/>
        </w:rPr>
        <w:t>IMF Advice</w:t>
      </w:r>
      <w:r w:rsidR="00275739" w:rsidRPr="00275739">
        <w:rPr>
          <w:sz w:val="22"/>
          <w:szCs w:val="22"/>
        </w:rPr>
        <w:t xml:space="preserve"> and Response</w:t>
      </w:r>
      <w:r w:rsidRPr="00275739">
        <w:rPr>
          <w:sz w:val="22"/>
          <w:szCs w:val="22"/>
        </w:rPr>
        <w:t xml:space="preserve">: </w:t>
      </w:r>
      <w:hyperlink r:id="rId16" w:history="1">
        <w:r w:rsidR="00275739" w:rsidRPr="00275739">
          <w:rPr>
            <w:rStyle w:val="Hyperlink"/>
            <w:sz w:val="22"/>
            <w:szCs w:val="22"/>
          </w:rPr>
          <w:t>https://www.imf.org/en/Topics/imf-and-covid19</w:t>
        </w:r>
      </w:hyperlink>
    </w:p>
    <w:p w14:paraId="5F66B473" w14:textId="6CCBFAC1" w:rsidR="00275739" w:rsidRPr="00275739" w:rsidRDefault="009877CF" w:rsidP="003E727E">
      <w:pPr>
        <w:pStyle w:val="ListParagraph"/>
        <w:numPr>
          <w:ilvl w:val="0"/>
          <w:numId w:val="15"/>
        </w:numPr>
        <w:spacing w:before="160" w:afterLines="80" w:after="192"/>
        <w:ind w:left="284" w:hanging="142"/>
        <w:contextualSpacing w:val="0"/>
        <w:rPr>
          <w:sz w:val="22"/>
          <w:szCs w:val="22"/>
        </w:rPr>
      </w:pPr>
      <w:r w:rsidRPr="00275739">
        <w:rPr>
          <w:sz w:val="22"/>
          <w:szCs w:val="22"/>
        </w:rPr>
        <w:t>OECD</w:t>
      </w:r>
      <w:r w:rsidR="00275739" w:rsidRPr="00275739">
        <w:rPr>
          <w:sz w:val="22"/>
          <w:szCs w:val="22"/>
        </w:rPr>
        <w:t xml:space="preserve"> Advice and Country Policy Tracker</w:t>
      </w:r>
      <w:r w:rsidRPr="00275739">
        <w:rPr>
          <w:sz w:val="22"/>
          <w:szCs w:val="22"/>
        </w:rPr>
        <w:t xml:space="preserve">: </w:t>
      </w:r>
      <w:hyperlink r:id="rId17" w:history="1">
        <w:r w:rsidRPr="00275739">
          <w:rPr>
            <w:rStyle w:val="Hyperlink"/>
            <w:sz w:val="22"/>
            <w:szCs w:val="22"/>
          </w:rPr>
          <w:t>http://www.oecd.org/coronavirus</w:t>
        </w:r>
      </w:hyperlink>
      <w:hyperlink r:id="rId18" w:history="1">
        <w:r w:rsidRPr="00275739">
          <w:rPr>
            <w:rStyle w:val="Hyperlink"/>
            <w:sz w:val="22"/>
            <w:szCs w:val="22"/>
          </w:rPr>
          <w:t>/</w:t>
        </w:r>
      </w:hyperlink>
    </w:p>
    <w:p w14:paraId="378BAF6C" w14:textId="213944E5" w:rsidR="00275739" w:rsidRPr="00275739" w:rsidRDefault="00275739" w:rsidP="003E727E">
      <w:pPr>
        <w:pStyle w:val="ListParagraph"/>
        <w:numPr>
          <w:ilvl w:val="0"/>
          <w:numId w:val="15"/>
        </w:numPr>
        <w:spacing w:before="160" w:afterLines="80" w:after="192"/>
        <w:ind w:left="284" w:hanging="142"/>
        <w:rPr>
          <w:sz w:val="22"/>
          <w:szCs w:val="22"/>
        </w:rPr>
      </w:pPr>
      <w:r w:rsidRPr="00275739">
        <w:rPr>
          <w:sz w:val="22"/>
          <w:szCs w:val="22"/>
        </w:rPr>
        <w:t>GIFT Advice</w:t>
      </w:r>
      <w:r w:rsidR="003E727E">
        <w:rPr>
          <w:sz w:val="22"/>
          <w:szCs w:val="22"/>
        </w:rPr>
        <w:t>:</w:t>
      </w:r>
      <w:r w:rsidRPr="00275739">
        <w:rPr>
          <w:sz w:val="22"/>
          <w:szCs w:val="22"/>
        </w:rPr>
        <w:t xml:space="preserve"> </w:t>
      </w:r>
      <w:hyperlink r:id="rId19" w:history="1">
        <w:r w:rsidRPr="00275739">
          <w:rPr>
            <w:rStyle w:val="Hyperlink"/>
            <w:sz w:val="22"/>
            <w:szCs w:val="22"/>
          </w:rPr>
          <w:t>http://www.fiscaltransparency.net/publish/fiscal-transparency-in-times-of-emergency-response-reflections-for-times-of-covid-19/</w:t>
        </w:r>
      </w:hyperlink>
      <w:r w:rsidRPr="00275739">
        <w:rPr>
          <w:sz w:val="22"/>
          <w:szCs w:val="22"/>
        </w:rPr>
        <w:t xml:space="preserve"> </w:t>
      </w:r>
    </w:p>
    <w:p w14:paraId="04D58B85" w14:textId="77777777" w:rsidR="00275739" w:rsidRPr="00275739" w:rsidRDefault="00275739" w:rsidP="003E727E">
      <w:pPr>
        <w:pStyle w:val="ListParagraph"/>
        <w:spacing w:before="160" w:afterLines="80" w:after="192"/>
        <w:ind w:left="284"/>
        <w:rPr>
          <w:sz w:val="22"/>
          <w:szCs w:val="22"/>
        </w:rPr>
      </w:pPr>
    </w:p>
    <w:p w14:paraId="685FA00B" w14:textId="2FE444CF" w:rsidR="00275739" w:rsidRPr="00275739" w:rsidRDefault="00275739" w:rsidP="003E727E">
      <w:pPr>
        <w:pStyle w:val="ListParagraph"/>
        <w:numPr>
          <w:ilvl w:val="0"/>
          <w:numId w:val="15"/>
        </w:numPr>
        <w:spacing w:before="160" w:afterLines="80" w:after="192"/>
        <w:ind w:left="284" w:hanging="142"/>
        <w:contextualSpacing w:val="0"/>
        <w:rPr>
          <w:sz w:val="22"/>
          <w:szCs w:val="22"/>
        </w:rPr>
      </w:pPr>
      <w:r w:rsidRPr="00275739">
        <w:rPr>
          <w:sz w:val="22"/>
          <w:szCs w:val="22"/>
        </w:rPr>
        <w:t xml:space="preserve">GIFT </w:t>
      </w:r>
      <w:r w:rsidR="003E727E">
        <w:rPr>
          <w:sz w:val="22"/>
          <w:szCs w:val="22"/>
        </w:rPr>
        <w:t>R</w:t>
      </w:r>
      <w:r w:rsidRPr="00275739">
        <w:rPr>
          <w:sz w:val="22"/>
          <w:szCs w:val="22"/>
        </w:rPr>
        <w:t xml:space="preserve">esources and </w:t>
      </w:r>
      <w:r w:rsidR="003E727E">
        <w:rPr>
          <w:sz w:val="22"/>
          <w:szCs w:val="22"/>
        </w:rPr>
        <w:t>W</w:t>
      </w:r>
      <w:r w:rsidRPr="00275739">
        <w:rPr>
          <w:sz w:val="22"/>
          <w:szCs w:val="22"/>
        </w:rPr>
        <w:t xml:space="preserve">ebinars: </w:t>
      </w:r>
      <w:hyperlink r:id="rId20" w:history="1">
        <w:r w:rsidRPr="00275739">
          <w:rPr>
            <w:rStyle w:val="Hyperlink"/>
            <w:sz w:val="22"/>
            <w:szCs w:val="22"/>
          </w:rPr>
          <w:t>http://www.fiscaltransparency.net/</w:t>
        </w:r>
      </w:hyperlink>
      <w:r w:rsidRPr="00275739">
        <w:rPr>
          <w:sz w:val="22"/>
          <w:szCs w:val="22"/>
        </w:rPr>
        <w:t xml:space="preserve"> </w:t>
      </w:r>
    </w:p>
    <w:p w14:paraId="3903F5A5" w14:textId="20B7A455" w:rsidR="00CD5B18" w:rsidRPr="00275739" w:rsidRDefault="00CD5B18" w:rsidP="003E727E">
      <w:pPr>
        <w:pStyle w:val="ListParagraph"/>
        <w:numPr>
          <w:ilvl w:val="0"/>
          <w:numId w:val="15"/>
        </w:numPr>
        <w:spacing w:before="160" w:afterLines="80" w:after="192"/>
        <w:ind w:left="284" w:hanging="142"/>
        <w:contextualSpacing w:val="0"/>
        <w:rPr>
          <w:sz w:val="22"/>
          <w:szCs w:val="22"/>
        </w:rPr>
      </w:pPr>
      <w:r w:rsidRPr="00275739">
        <w:rPr>
          <w:sz w:val="22"/>
          <w:szCs w:val="22"/>
        </w:rPr>
        <w:t>European Commission</w:t>
      </w:r>
      <w:r w:rsidR="00275739" w:rsidRPr="00275739">
        <w:rPr>
          <w:sz w:val="22"/>
          <w:szCs w:val="22"/>
        </w:rPr>
        <w:t xml:space="preserve">’s </w:t>
      </w:r>
      <w:r w:rsidR="003E727E">
        <w:rPr>
          <w:sz w:val="22"/>
          <w:szCs w:val="22"/>
        </w:rPr>
        <w:t>R</w:t>
      </w:r>
      <w:r w:rsidR="00275739" w:rsidRPr="00275739">
        <w:rPr>
          <w:sz w:val="22"/>
          <w:szCs w:val="22"/>
        </w:rPr>
        <w:t xml:space="preserve">esponse and </w:t>
      </w:r>
      <w:r w:rsidR="003E727E">
        <w:rPr>
          <w:sz w:val="22"/>
          <w:szCs w:val="22"/>
        </w:rPr>
        <w:t>R</w:t>
      </w:r>
      <w:r w:rsidR="00275739" w:rsidRPr="00275739">
        <w:rPr>
          <w:sz w:val="22"/>
          <w:szCs w:val="22"/>
        </w:rPr>
        <w:t xml:space="preserve">esearch: </w:t>
      </w:r>
      <w:hyperlink r:id="rId21" w:history="1">
        <w:r w:rsidR="00275739" w:rsidRPr="00275739">
          <w:rPr>
            <w:rStyle w:val="Hyperlink"/>
          </w:rPr>
          <w:t>https://ec.europa.eu/info/live-work-travel-eu/health/coronavirus-response_en</w:t>
        </w:r>
      </w:hyperlink>
    </w:p>
    <w:p w14:paraId="2E2C6E07" w14:textId="5DA5C16A" w:rsidR="009877CF" w:rsidRPr="00275739" w:rsidRDefault="00CD5B18" w:rsidP="003E727E">
      <w:pPr>
        <w:pStyle w:val="ListParagraph"/>
        <w:numPr>
          <w:ilvl w:val="0"/>
          <w:numId w:val="15"/>
        </w:numPr>
        <w:spacing w:before="160" w:afterLines="80" w:after="192"/>
        <w:ind w:left="284" w:hanging="142"/>
        <w:contextualSpacing w:val="0"/>
        <w:rPr>
          <w:sz w:val="22"/>
          <w:szCs w:val="22"/>
        </w:rPr>
      </w:pPr>
      <w:r w:rsidRPr="00275739">
        <w:rPr>
          <w:sz w:val="22"/>
          <w:szCs w:val="22"/>
        </w:rPr>
        <w:t xml:space="preserve">Council of the European Union  </w:t>
      </w:r>
      <w:r w:rsidR="003E727E">
        <w:rPr>
          <w:sz w:val="22"/>
          <w:szCs w:val="22"/>
        </w:rPr>
        <w:t>M</w:t>
      </w:r>
      <w:r w:rsidRPr="00275739">
        <w:rPr>
          <w:sz w:val="22"/>
          <w:szCs w:val="22"/>
        </w:rPr>
        <w:t>easures</w:t>
      </w:r>
      <w:r w:rsidR="009877CF" w:rsidRPr="00275739">
        <w:rPr>
          <w:sz w:val="22"/>
          <w:szCs w:val="22"/>
        </w:rPr>
        <w:t xml:space="preserve">: </w:t>
      </w:r>
      <w:hyperlink r:id="rId22" w:history="1">
        <w:r w:rsidR="009877CF" w:rsidRPr="00275739">
          <w:rPr>
            <w:rStyle w:val="Hyperlink"/>
            <w:sz w:val="22"/>
            <w:szCs w:val="22"/>
          </w:rPr>
          <w:t>https://www.consilium.europa.eu/en/press/press-releases/2020/03/30/covid-19-council-adopts-measures-for-immediate-release-of-funds</w:t>
        </w:r>
      </w:hyperlink>
      <w:hyperlink r:id="rId23" w:history="1">
        <w:r w:rsidR="009877CF" w:rsidRPr="00275739">
          <w:rPr>
            <w:rStyle w:val="Hyperlink"/>
            <w:sz w:val="22"/>
            <w:szCs w:val="22"/>
          </w:rPr>
          <w:t>/</w:t>
        </w:r>
      </w:hyperlink>
      <w:r w:rsidR="009877CF" w:rsidRPr="00275739">
        <w:rPr>
          <w:sz w:val="22"/>
          <w:szCs w:val="22"/>
        </w:rPr>
        <w:t xml:space="preserve"> </w:t>
      </w:r>
    </w:p>
    <w:p w14:paraId="77532EEC" w14:textId="6F579E2C" w:rsidR="0072612A" w:rsidRPr="009877CF" w:rsidRDefault="0072612A" w:rsidP="009877CF">
      <w:pPr>
        <w:spacing w:afterLines="80" w:after="192"/>
        <w:ind w:left="142"/>
        <w:jc w:val="both"/>
        <w:rPr>
          <w:sz w:val="22"/>
          <w:szCs w:val="22"/>
        </w:rPr>
      </w:pPr>
    </w:p>
    <w:sectPr w:rsidR="0072612A" w:rsidRPr="009877CF" w:rsidSect="00377538">
      <w:headerReference w:type="default" r:id="rId24"/>
      <w:footerReference w:type="even" r:id="rId25"/>
      <w:footerReference w:type="default" r:id="rId26"/>
      <w:pgSz w:w="12240" w:h="15840"/>
      <w:pgMar w:top="1138" w:right="1440" w:bottom="1138" w:left="1440"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A771" w14:textId="77777777" w:rsidR="00AB7757" w:rsidRDefault="00AB7757">
      <w:r>
        <w:separator/>
      </w:r>
    </w:p>
  </w:endnote>
  <w:endnote w:type="continuationSeparator" w:id="0">
    <w:p w14:paraId="2D22F421" w14:textId="77777777" w:rsidR="00AB7757" w:rsidRDefault="00AB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865594"/>
      <w:docPartObj>
        <w:docPartGallery w:val="Page Numbers (Bottom of Page)"/>
        <w:docPartUnique/>
      </w:docPartObj>
    </w:sdtPr>
    <w:sdtEndPr>
      <w:rPr>
        <w:rStyle w:val="PageNumber"/>
      </w:rPr>
    </w:sdtEndPr>
    <w:sdtContent>
      <w:p w14:paraId="05C5E266" w14:textId="58BB7EC9" w:rsidR="00024B9E" w:rsidRDefault="00024B9E" w:rsidP="00CD5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398B3" w14:textId="77777777" w:rsidR="00024B9E" w:rsidRDefault="00024B9E" w:rsidP="00743E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6531947"/>
      <w:docPartObj>
        <w:docPartGallery w:val="Page Numbers (Bottom of Page)"/>
        <w:docPartUnique/>
      </w:docPartObj>
    </w:sdtPr>
    <w:sdtEndPr>
      <w:rPr>
        <w:rStyle w:val="PageNumber"/>
      </w:rPr>
    </w:sdtEndPr>
    <w:sdtContent>
      <w:p w14:paraId="34CA0B07" w14:textId="2541D52D" w:rsidR="00024B9E" w:rsidRDefault="00024B9E" w:rsidP="00CD5B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06F8">
          <w:rPr>
            <w:rStyle w:val="PageNumber"/>
            <w:noProof/>
          </w:rPr>
          <w:t>5</w:t>
        </w:r>
        <w:r>
          <w:rPr>
            <w:rStyle w:val="PageNumber"/>
          </w:rPr>
          <w:fldChar w:fldCharType="end"/>
        </w:r>
      </w:p>
    </w:sdtContent>
  </w:sdt>
  <w:p w14:paraId="77C3FCE6" w14:textId="77777777" w:rsidR="00024B9E" w:rsidRDefault="00024B9E" w:rsidP="00743E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F5D95" w14:textId="77777777" w:rsidR="00AB7757" w:rsidRDefault="00AB7757">
      <w:r>
        <w:separator/>
      </w:r>
    </w:p>
  </w:footnote>
  <w:footnote w:type="continuationSeparator" w:id="0">
    <w:p w14:paraId="556C1B76" w14:textId="77777777" w:rsidR="00AB7757" w:rsidRDefault="00AB7757">
      <w:r>
        <w:continuationSeparator/>
      </w:r>
    </w:p>
  </w:footnote>
  <w:footnote w:id="1">
    <w:p w14:paraId="62C60C35" w14:textId="4C1078E8" w:rsidR="00806977" w:rsidRPr="00806977" w:rsidRDefault="00806977">
      <w:pPr>
        <w:pStyle w:val="FootnoteText"/>
        <w:rPr>
          <w:sz w:val="18"/>
          <w:szCs w:val="18"/>
        </w:rPr>
      </w:pPr>
      <w:r>
        <w:rPr>
          <w:rStyle w:val="FootnoteReference"/>
        </w:rPr>
        <w:footnoteRef/>
      </w:r>
      <w:r>
        <w:t xml:space="preserve"> </w:t>
      </w:r>
      <w:r w:rsidRPr="00806977">
        <w:rPr>
          <w:sz w:val="18"/>
          <w:szCs w:val="18"/>
        </w:rPr>
        <w:t xml:space="preserve">This event report was </w:t>
      </w:r>
      <w:r>
        <w:rPr>
          <w:sz w:val="18"/>
          <w:szCs w:val="18"/>
        </w:rPr>
        <w:t xml:space="preserve">prepared </w:t>
      </w:r>
      <w:r w:rsidRPr="00806977">
        <w:rPr>
          <w:sz w:val="18"/>
          <w:szCs w:val="18"/>
        </w:rPr>
        <w:t xml:space="preserve">by Naida Carsimamovic, BCOP Resource Team Member with inputs </w:t>
      </w:r>
      <w:r>
        <w:rPr>
          <w:sz w:val="18"/>
          <w:szCs w:val="18"/>
        </w:rPr>
        <w:t xml:space="preserve">provided by </w:t>
      </w:r>
      <w:r w:rsidRPr="00806977">
        <w:rPr>
          <w:sz w:val="18"/>
          <w:szCs w:val="18"/>
        </w:rPr>
        <w:t>Iryna Shcherbyna, BCOP Resource Team Coordinator and Deanna Aubrey, BCOP Resource Team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DDF9" w14:textId="79DF8D83" w:rsidR="00024B9E" w:rsidRDefault="00024B9E" w:rsidP="00743E60">
    <w:pPr>
      <w:pStyle w:val="Header"/>
      <w:jc w:val="center"/>
      <w:rPr>
        <w:lang w:val="en-GB"/>
      </w:rPr>
    </w:pPr>
    <w:r>
      <w:rPr>
        <w:b/>
        <w:noProof/>
      </w:rPr>
      <w:drawing>
        <wp:inline distT="0" distB="0" distL="0" distR="0" wp14:anchorId="1044C930" wp14:editId="73835854">
          <wp:extent cx="5943600" cy="5708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0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A19"/>
    <w:multiLevelType w:val="hybridMultilevel"/>
    <w:tmpl w:val="59CE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D3"/>
    <w:multiLevelType w:val="hybridMultilevel"/>
    <w:tmpl w:val="63F63B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80933"/>
    <w:multiLevelType w:val="hybridMultilevel"/>
    <w:tmpl w:val="31B8B3F4"/>
    <w:lvl w:ilvl="0" w:tplc="0409001B">
      <w:start w:val="1"/>
      <w:numFmt w:val="lowerRoman"/>
      <w:lvlText w:val="%1."/>
      <w:lvlJc w:val="right"/>
      <w:pPr>
        <w:ind w:left="720" w:hanging="360"/>
      </w:pPr>
      <w:rPr>
        <w:rFonts w:hint="default"/>
      </w:rPr>
    </w:lvl>
    <w:lvl w:ilvl="1" w:tplc="8998F116">
      <w:numFmt w:val="bullet"/>
      <w:lvlText w:val="–"/>
      <w:lvlJc w:val="left"/>
      <w:pPr>
        <w:tabs>
          <w:tab w:val="num" w:pos="1440"/>
        </w:tabs>
        <w:ind w:left="1440" w:hanging="360"/>
      </w:pPr>
      <w:rPr>
        <w:rFonts w:ascii="Arial" w:hAnsi="Arial" w:hint="default"/>
      </w:rPr>
    </w:lvl>
    <w:lvl w:ilvl="2" w:tplc="64AC80E4" w:tentative="1">
      <w:start w:val="1"/>
      <w:numFmt w:val="bullet"/>
      <w:lvlText w:val="•"/>
      <w:lvlJc w:val="left"/>
      <w:pPr>
        <w:tabs>
          <w:tab w:val="num" w:pos="2160"/>
        </w:tabs>
        <w:ind w:left="2160" w:hanging="360"/>
      </w:pPr>
      <w:rPr>
        <w:rFonts w:ascii="Arial" w:hAnsi="Arial" w:hint="default"/>
      </w:rPr>
    </w:lvl>
    <w:lvl w:ilvl="3" w:tplc="48600A60" w:tentative="1">
      <w:start w:val="1"/>
      <w:numFmt w:val="bullet"/>
      <w:lvlText w:val="•"/>
      <w:lvlJc w:val="left"/>
      <w:pPr>
        <w:tabs>
          <w:tab w:val="num" w:pos="2880"/>
        </w:tabs>
        <w:ind w:left="2880" w:hanging="360"/>
      </w:pPr>
      <w:rPr>
        <w:rFonts w:ascii="Arial" w:hAnsi="Arial" w:hint="default"/>
      </w:rPr>
    </w:lvl>
    <w:lvl w:ilvl="4" w:tplc="48FEAD64" w:tentative="1">
      <w:start w:val="1"/>
      <w:numFmt w:val="bullet"/>
      <w:lvlText w:val="•"/>
      <w:lvlJc w:val="left"/>
      <w:pPr>
        <w:tabs>
          <w:tab w:val="num" w:pos="3600"/>
        </w:tabs>
        <w:ind w:left="3600" w:hanging="360"/>
      </w:pPr>
      <w:rPr>
        <w:rFonts w:ascii="Arial" w:hAnsi="Arial" w:hint="default"/>
      </w:rPr>
    </w:lvl>
    <w:lvl w:ilvl="5" w:tplc="88D4A936" w:tentative="1">
      <w:start w:val="1"/>
      <w:numFmt w:val="bullet"/>
      <w:lvlText w:val="•"/>
      <w:lvlJc w:val="left"/>
      <w:pPr>
        <w:tabs>
          <w:tab w:val="num" w:pos="4320"/>
        </w:tabs>
        <w:ind w:left="4320" w:hanging="360"/>
      </w:pPr>
      <w:rPr>
        <w:rFonts w:ascii="Arial" w:hAnsi="Arial" w:hint="default"/>
      </w:rPr>
    </w:lvl>
    <w:lvl w:ilvl="6" w:tplc="E932CCE6" w:tentative="1">
      <w:start w:val="1"/>
      <w:numFmt w:val="bullet"/>
      <w:lvlText w:val="•"/>
      <w:lvlJc w:val="left"/>
      <w:pPr>
        <w:tabs>
          <w:tab w:val="num" w:pos="5040"/>
        </w:tabs>
        <w:ind w:left="5040" w:hanging="360"/>
      </w:pPr>
      <w:rPr>
        <w:rFonts w:ascii="Arial" w:hAnsi="Arial" w:hint="default"/>
      </w:rPr>
    </w:lvl>
    <w:lvl w:ilvl="7" w:tplc="180032B0" w:tentative="1">
      <w:start w:val="1"/>
      <w:numFmt w:val="bullet"/>
      <w:lvlText w:val="•"/>
      <w:lvlJc w:val="left"/>
      <w:pPr>
        <w:tabs>
          <w:tab w:val="num" w:pos="5760"/>
        </w:tabs>
        <w:ind w:left="5760" w:hanging="360"/>
      </w:pPr>
      <w:rPr>
        <w:rFonts w:ascii="Arial" w:hAnsi="Arial" w:hint="default"/>
      </w:rPr>
    </w:lvl>
    <w:lvl w:ilvl="8" w:tplc="FC8E72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81A9F"/>
    <w:multiLevelType w:val="hybridMultilevel"/>
    <w:tmpl w:val="04CC8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5F0A1E"/>
    <w:multiLevelType w:val="hybridMultilevel"/>
    <w:tmpl w:val="926EF3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81918"/>
    <w:multiLevelType w:val="hybridMultilevel"/>
    <w:tmpl w:val="1526CADA"/>
    <w:lvl w:ilvl="0" w:tplc="0B60E738">
      <w:start w:val="9"/>
      <w:numFmt w:val="decimal"/>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15:restartNumberingAfterBreak="0">
    <w:nsid w:val="4A7C28AF"/>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8F3657"/>
    <w:multiLevelType w:val="hybridMultilevel"/>
    <w:tmpl w:val="403A5AF0"/>
    <w:lvl w:ilvl="0" w:tplc="D08E4D9E">
      <w:start w:val="7"/>
      <w:numFmt w:val="decimal"/>
      <w:lvlText w:val="%1."/>
      <w:lvlJc w:val="left"/>
      <w:pPr>
        <w:ind w:left="1470" w:hanging="360"/>
      </w:pPr>
      <w:rPr>
        <w:rFonts w:eastAsiaTheme="minorEastAsia" w:hint="default"/>
        <w:color w:val="000000" w:themeColor="text1"/>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5A9267EC"/>
    <w:multiLevelType w:val="hybridMultilevel"/>
    <w:tmpl w:val="268C37C6"/>
    <w:lvl w:ilvl="0" w:tplc="3600FE2C">
      <w:start w:val="1"/>
      <w:numFmt w:val="bullet"/>
      <w:lvlText w:val="•"/>
      <w:lvlJc w:val="left"/>
      <w:pPr>
        <w:tabs>
          <w:tab w:val="num" w:pos="720"/>
        </w:tabs>
        <w:ind w:left="720" w:hanging="360"/>
      </w:pPr>
      <w:rPr>
        <w:rFonts w:ascii="Arial" w:hAnsi="Arial" w:hint="default"/>
      </w:rPr>
    </w:lvl>
    <w:lvl w:ilvl="1" w:tplc="8998F116">
      <w:numFmt w:val="bullet"/>
      <w:lvlText w:val="–"/>
      <w:lvlJc w:val="left"/>
      <w:pPr>
        <w:tabs>
          <w:tab w:val="num" w:pos="1440"/>
        </w:tabs>
        <w:ind w:left="1440" w:hanging="360"/>
      </w:pPr>
      <w:rPr>
        <w:rFonts w:ascii="Arial" w:hAnsi="Arial" w:hint="default"/>
      </w:rPr>
    </w:lvl>
    <w:lvl w:ilvl="2" w:tplc="64AC80E4" w:tentative="1">
      <w:start w:val="1"/>
      <w:numFmt w:val="bullet"/>
      <w:lvlText w:val="•"/>
      <w:lvlJc w:val="left"/>
      <w:pPr>
        <w:tabs>
          <w:tab w:val="num" w:pos="2160"/>
        </w:tabs>
        <w:ind w:left="2160" w:hanging="360"/>
      </w:pPr>
      <w:rPr>
        <w:rFonts w:ascii="Arial" w:hAnsi="Arial" w:hint="default"/>
      </w:rPr>
    </w:lvl>
    <w:lvl w:ilvl="3" w:tplc="48600A60" w:tentative="1">
      <w:start w:val="1"/>
      <w:numFmt w:val="bullet"/>
      <w:lvlText w:val="•"/>
      <w:lvlJc w:val="left"/>
      <w:pPr>
        <w:tabs>
          <w:tab w:val="num" w:pos="2880"/>
        </w:tabs>
        <w:ind w:left="2880" w:hanging="360"/>
      </w:pPr>
      <w:rPr>
        <w:rFonts w:ascii="Arial" w:hAnsi="Arial" w:hint="default"/>
      </w:rPr>
    </w:lvl>
    <w:lvl w:ilvl="4" w:tplc="48FEAD64" w:tentative="1">
      <w:start w:val="1"/>
      <w:numFmt w:val="bullet"/>
      <w:lvlText w:val="•"/>
      <w:lvlJc w:val="left"/>
      <w:pPr>
        <w:tabs>
          <w:tab w:val="num" w:pos="3600"/>
        </w:tabs>
        <w:ind w:left="3600" w:hanging="360"/>
      </w:pPr>
      <w:rPr>
        <w:rFonts w:ascii="Arial" w:hAnsi="Arial" w:hint="default"/>
      </w:rPr>
    </w:lvl>
    <w:lvl w:ilvl="5" w:tplc="88D4A936" w:tentative="1">
      <w:start w:val="1"/>
      <w:numFmt w:val="bullet"/>
      <w:lvlText w:val="•"/>
      <w:lvlJc w:val="left"/>
      <w:pPr>
        <w:tabs>
          <w:tab w:val="num" w:pos="4320"/>
        </w:tabs>
        <w:ind w:left="4320" w:hanging="360"/>
      </w:pPr>
      <w:rPr>
        <w:rFonts w:ascii="Arial" w:hAnsi="Arial" w:hint="default"/>
      </w:rPr>
    </w:lvl>
    <w:lvl w:ilvl="6" w:tplc="E932CCE6" w:tentative="1">
      <w:start w:val="1"/>
      <w:numFmt w:val="bullet"/>
      <w:lvlText w:val="•"/>
      <w:lvlJc w:val="left"/>
      <w:pPr>
        <w:tabs>
          <w:tab w:val="num" w:pos="5040"/>
        </w:tabs>
        <w:ind w:left="5040" w:hanging="360"/>
      </w:pPr>
      <w:rPr>
        <w:rFonts w:ascii="Arial" w:hAnsi="Arial" w:hint="default"/>
      </w:rPr>
    </w:lvl>
    <w:lvl w:ilvl="7" w:tplc="180032B0" w:tentative="1">
      <w:start w:val="1"/>
      <w:numFmt w:val="bullet"/>
      <w:lvlText w:val="•"/>
      <w:lvlJc w:val="left"/>
      <w:pPr>
        <w:tabs>
          <w:tab w:val="num" w:pos="5760"/>
        </w:tabs>
        <w:ind w:left="5760" w:hanging="360"/>
      </w:pPr>
      <w:rPr>
        <w:rFonts w:ascii="Arial" w:hAnsi="Arial" w:hint="default"/>
      </w:rPr>
    </w:lvl>
    <w:lvl w:ilvl="8" w:tplc="FC8E72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7F40E5"/>
    <w:multiLevelType w:val="hybridMultilevel"/>
    <w:tmpl w:val="C542315E"/>
    <w:lvl w:ilvl="0" w:tplc="4424A698">
      <w:start w:val="1"/>
      <w:numFmt w:val="bullet"/>
      <w:lvlText w:val="•"/>
      <w:lvlJc w:val="left"/>
      <w:pPr>
        <w:tabs>
          <w:tab w:val="num" w:pos="720"/>
        </w:tabs>
        <w:ind w:left="720" w:hanging="360"/>
      </w:pPr>
      <w:rPr>
        <w:rFonts w:ascii="Arial" w:hAnsi="Arial" w:hint="default"/>
      </w:rPr>
    </w:lvl>
    <w:lvl w:ilvl="1" w:tplc="7FA66B32" w:tentative="1">
      <w:start w:val="1"/>
      <w:numFmt w:val="bullet"/>
      <w:lvlText w:val="•"/>
      <w:lvlJc w:val="left"/>
      <w:pPr>
        <w:tabs>
          <w:tab w:val="num" w:pos="1440"/>
        </w:tabs>
        <w:ind w:left="1440" w:hanging="360"/>
      </w:pPr>
      <w:rPr>
        <w:rFonts w:ascii="Arial" w:hAnsi="Arial" w:hint="default"/>
      </w:rPr>
    </w:lvl>
    <w:lvl w:ilvl="2" w:tplc="F528BD3A" w:tentative="1">
      <w:start w:val="1"/>
      <w:numFmt w:val="bullet"/>
      <w:lvlText w:val="•"/>
      <w:lvlJc w:val="left"/>
      <w:pPr>
        <w:tabs>
          <w:tab w:val="num" w:pos="2160"/>
        </w:tabs>
        <w:ind w:left="2160" w:hanging="360"/>
      </w:pPr>
      <w:rPr>
        <w:rFonts w:ascii="Arial" w:hAnsi="Arial" w:hint="default"/>
      </w:rPr>
    </w:lvl>
    <w:lvl w:ilvl="3" w:tplc="E3E2E98E" w:tentative="1">
      <w:start w:val="1"/>
      <w:numFmt w:val="bullet"/>
      <w:lvlText w:val="•"/>
      <w:lvlJc w:val="left"/>
      <w:pPr>
        <w:tabs>
          <w:tab w:val="num" w:pos="2880"/>
        </w:tabs>
        <w:ind w:left="2880" w:hanging="360"/>
      </w:pPr>
      <w:rPr>
        <w:rFonts w:ascii="Arial" w:hAnsi="Arial" w:hint="default"/>
      </w:rPr>
    </w:lvl>
    <w:lvl w:ilvl="4" w:tplc="91F604BC" w:tentative="1">
      <w:start w:val="1"/>
      <w:numFmt w:val="bullet"/>
      <w:lvlText w:val="•"/>
      <w:lvlJc w:val="left"/>
      <w:pPr>
        <w:tabs>
          <w:tab w:val="num" w:pos="3600"/>
        </w:tabs>
        <w:ind w:left="3600" w:hanging="360"/>
      </w:pPr>
      <w:rPr>
        <w:rFonts w:ascii="Arial" w:hAnsi="Arial" w:hint="default"/>
      </w:rPr>
    </w:lvl>
    <w:lvl w:ilvl="5" w:tplc="E7BE0B52" w:tentative="1">
      <w:start w:val="1"/>
      <w:numFmt w:val="bullet"/>
      <w:lvlText w:val="•"/>
      <w:lvlJc w:val="left"/>
      <w:pPr>
        <w:tabs>
          <w:tab w:val="num" w:pos="4320"/>
        </w:tabs>
        <w:ind w:left="4320" w:hanging="360"/>
      </w:pPr>
      <w:rPr>
        <w:rFonts w:ascii="Arial" w:hAnsi="Arial" w:hint="default"/>
      </w:rPr>
    </w:lvl>
    <w:lvl w:ilvl="6" w:tplc="CA36EE04" w:tentative="1">
      <w:start w:val="1"/>
      <w:numFmt w:val="bullet"/>
      <w:lvlText w:val="•"/>
      <w:lvlJc w:val="left"/>
      <w:pPr>
        <w:tabs>
          <w:tab w:val="num" w:pos="5040"/>
        </w:tabs>
        <w:ind w:left="5040" w:hanging="360"/>
      </w:pPr>
      <w:rPr>
        <w:rFonts w:ascii="Arial" w:hAnsi="Arial" w:hint="default"/>
      </w:rPr>
    </w:lvl>
    <w:lvl w:ilvl="7" w:tplc="D696B2C2" w:tentative="1">
      <w:start w:val="1"/>
      <w:numFmt w:val="bullet"/>
      <w:lvlText w:val="•"/>
      <w:lvlJc w:val="left"/>
      <w:pPr>
        <w:tabs>
          <w:tab w:val="num" w:pos="5760"/>
        </w:tabs>
        <w:ind w:left="5760" w:hanging="360"/>
      </w:pPr>
      <w:rPr>
        <w:rFonts w:ascii="Arial" w:hAnsi="Arial" w:hint="default"/>
      </w:rPr>
    </w:lvl>
    <w:lvl w:ilvl="8" w:tplc="6204B9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872BAE"/>
    <w:multiLevelType w:val="hybridMultilevel"/>
    <w:tmpl w:val="DB82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C70C3"/>
    <w:multiLevelType w:val="hybridMultilevel"/>
    <w:tmpl w:val="701092C4"/>
    <w:lvl w:ilvl="0" w:tplc="D3C2465E">
      <w:start w:val="1"/>
      <w:numFmt w:val="bullet"/>
      <w:lvlText w:val="•"/>
      <w:lvlJc w:val="left"/>
      <w:pPr>
        <w:tabs>
          <w:tab w:val="num" w:pos="720"/>
        </w:tabs>
        <w:ind w:left="720" w:hanging="360"/>
      </w:pPr>
      <w:rPr>
        <w:rFonts w:ascii="Arial" w:hAnsi="Arial" w:hint="default"/>
      </w:rPr>
    </w:lvl>
    <w:lvl w:ilvl="1" w:tplc="F02A3CD4" w:tentative="1">
      <w:start w:val="1"/>
      <w:numFmt w:val="bullet"/>
      <w:lvlText w:val="•"/>
      <w:lvlJc w:val="left"/>
      <w:pPr>
        <w:tabs>
          <w:tab w:val="num" w:pos="1440"/>
        </w:tabs>
        <w:ind w:left="1440" w:hanging="360"/>
      </w:pPr>
      <w:rPr>
        <w:rFonts w:ascii="Arial" w:hAnsi="Arial" w:hint="default"/>
      </w:rPr>
    </w:lvl>
    <w:lvl w:ilvl="2" w:tplc="EDFC8748" w:tentative="1">
      <w:start w:val="1"/>
      <w:numFmt w:val="bullet"/>
      <w:lvlText w:val="•"/>
      <w:lvlJc w:val="left"/>
      <w:pPr>
        <w:tabs>
          <w:tab w:val="num" w:pos="2160"/>
        </w:tabs>
        <w:ind w:left="2160" w:hanging="360"/>
      </w:pPr>
      <w:rPr>
        <w:rFonts w:ascii="Arial" w:hAnsi="Arial" w:hint="default"/>
      </w:rPr>
    </w:lvl>
    <w:lvl w:ilvl="3" w:tplc="5140894E" w:tentative="1">
      <w:start w:val="1"/>
      <w:numFmt w:val="bullet"/>
      <w:lvlText w:val="•"/>
      <w:lvlJc w:val="left"/>
      <w:pPr>
        <w:tabs>
          <w:tab w:val="num" w:pos="2880"/>
        </w:tabs>
        <w:ind w:left="2880" w:hanging="360"/>
      </w:pPr>
      <w:rPr>
        <w:rFonts w:ascii="Arial" w:hAnsi="Arial" w:hint="default"/>
      </w:rPr>
    </w:lvl>
    <w:lvl w:ilvl="4" w:tplc="034025DA" w:tentative="1">
      <w:start w:val="1"/>
      <w:numFmt w:val="bullet"/>
      <w:lvlText w:val="•"/>
      <w:lvlJc w:val="left"/>
      <w:pPr>
        <w:tabs>
          <w:tab w:val="num" w:pos="3600"/>
        </w:tabs>
        <w:ind w:left="3600" w:hanging="360"/>
      </w:pPr>
      <w:rPr>
        <w:rFonts w:ascii="Arial" w:hAnsi="Arial" w:hint="default"/>
      </w:rPr>
    </w:lvl>
    <w:lvl w:ilvl="5" w:tplc="61CC2378" w:tentative="1">
      <w:start w:val="1"/>
      <w:numFmt w:val="bullet"/>
      <w:lvlText w:val="•"/>
      <w:lvlJc w:val="left"/>
      <w:pPr>
        <w:tabs>
          <w:tab w:val="num" w:pos="4320"/>
        </w:tabs>
        <w:ind w:left="4320" w:hanging="360"/>
      </w:pPr>
      <w:rPr>
        <w:rFonts w:ascii="Arial" w:hAnsi="Arial" w:hint="default"/>
      </w:rPr>
    </w:lvl>
    <w:lvl w:ilvl="6" w:tplc="16E83074" w:tentative="1">
      <w:start w:val="1"/>
      <w:numFmt w:val="bullet"/>
      <w:lvlText w:val="•"/>
      <w:lvlJc w:val="left"/>
      <w:pPr>
        <w:tabs>
          <w:tab w:val="num" w:pos="5040"/>
        </w:tabs>
        <w:ind w:left="5040" w:hanging="360"/>
      </w:pPr>
      <w:rPr>
        <w:rFonts w:ascii="Arial" w:hAnsi="Arial" w:hint="default"/>
      </w:rPr>
    </w:lvl>
    <w:lvl w:ilvl="7" w:tplc="4D6A4D22" w:tentative="1">
      <w:start w:val="1"/>
      <w:numFmt w:val="bullet"/>
      <w:lvlText w:val="•"/>
      <w:lvlJc w:val="left"/>
      <w:pPr>
        <w:tabs>
          <w:tab w:val="num" w:pos="5760"/>
        </w:tabs>
        <w:ind w:left="5760" w:hanging="360"/>
      </w:pPr>
      <w:rPr>
        <w:rFonts w:ascii="Arial" w:hAnsi="Arial" w:hint="default"/>
      </w:rPr>
    </w:lvl>
    <w:lvl w:ilvl="8" w:tplc="6420A6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8F711C"/>
    <w:multiLevelType w:val="hybridMultilevel"/>
    <w:tmpl w:val="27F2F78A"/>
    <w:lvl w:ilvl="0" w:tplc="F6D4EF00">
      <w:start w:val="1"/>
      <w:numFmt w:val="bullet"/>
      <w:lvlText w:val="•"/>
      <w:lvlJc w:val="left"/>
      <w:pPr>
        <w:tabs>
          <w:tab w:val="num" w:pos="720"/>
        </w:tabs>
        <w:ind w:left="720" w:hanging="360"/>
      </w:pPr>
      <w:rPr>
        <w:rFonts w:ascii="Arial" w:hAnsi="Arial" w:hint="default"/>
      </w:rPr>
    </w:lvl>
    <w:lvl w:ilvl="1" w:tplc="565EE2D6" w:tentative="1">
      <w:start w:val="1"/>
      <w:numFmt w:val="bullet"/>
      <w:lvlText w:val="•"/>
      <w:lvlJc w:val="left"/>
      <w:pPr>
        <w:tabs>
          <w:tab w:val="num" w:pos="1440"/>
        </w:tabs>
        <w:ind w:left="1440" w:hanging="360"/>
      </w:pPr>
      <w:rPr>
        <w:rFonts w:ascii="Arial" w:hAnsi="Arial" w:hint="default"/>
      </w:rPr>
    </w:lvl>
    <w:lvl w:ilvl="2" w:tplc="D6F4F17A" w:tentative="1">
      <w:start w:val="1"/>
      <w:numFmt w:val="bullet"/>
      <w:lvlText w:val="•"/>
      <w:lvlJc w:val="left"/>
      <w:pPr>
        <w:tabs>
          <w:tab w:val="num" w:pos="2160"/>
        </w:tabs>
        <w:ind w:left="2160" w:hanging="360"/>
      </w:pPr>
      <w:rPr>
        <w:rFonts w:ascii="Arial" w:hAnsi="Arial" w:hint="default"/>
      </w:rPr>
    </w:lvl>
    <w:lvl w:ilvl="3" w:tplc="87E4D81E" w:tentative="1">
      <w:start w:val="1"/>
      <w:numFmt w:val="bullet"/>
      <w:lvlText w:val="•"/>
      <w:lvlJc w:val="left"/>
      <w:pPr>
        <w:tabs>
          <w:tab w:val="num" w:pos="2880"/>
        </w:tabs>
        <w:ind w:left="2880" w:hanging="360"/>
      </w:pPr>
      <w:rPr>
        <w:rFonts w:ascii="Arial" w:hAnsi="Arial" w:hint="default"/>
      </w:rPr>
    </w:lvl>
    <w:lvl w:ilvl="4" w:tplc="8312D386" w:tentative="1">
      <w:start w:val="1"/>
      <w:numFmt w:val="bullet"/>
      <w:lvlText w:val="•"/>
      <w:lvlJc w:val="left"/>
      <w:pPr>
        <w:tabs>
          <w:tab w:val="num" w:pos="3600"/>
        </w:tabs>
        <w:ind w:left="3600" w:hanging="360"/>
      </w:pPr>
      <w:rPr>
        <w:rFonts w:ascii="Arial" w:hAnsi="Arial" w:hint="default"/>
      </w:rPr>
    </w:lvl>
    <w:lvl w:ilvl="5" w:tplc="432E8686" w:tentative="1">
      <w:start w:val="1"/>
      <w:numFmt w:val="bullet"/>
      <w:lvlText w:val="•"/>
      <w:lvlJc w:val="left"/>
      <w:pPr>
        <w:tabs>
          <w:tab w:val="num" w:pos="4320"/>
        </w:tabs>
        <w:ind w:left="4320" w:hanging="360"/>
      </w:pPr>
      <w:rPr>
        <w:rFonts w:ascii="Arial" w:hAnsi="Arial" w:hint="default"/>
      </w:rPr>
    </w:lvl>
    <w:lvl w:ilvl="6" w:tplc="4F3664D4" w:tentative="1">
      <w:start w:val="1"/>
      <w:numFmt w:val="bullet"/>
      <w:lvlText w:val="•"/>
      <w:lvlJc w:val="left"/>
      <w:pPr>
        <w:tabs>
          <w:tab w:val="num" w:pos="5040"/>
        </w:tabs>
        <w:ind w:left="5040" w:hanging="360"/>
      </w:pPr>
      <w:rPr>
        <w:rFonts w:ascii="Arial" w:hAnsi="Arial" w:hint="default"/>
      </w:rPr>
    </w:lvl>
    <w:lvl w:ilvl="7" w:tplc="79482F96" w:tentative="1">
      <w:start w:val="1"/>
      <w:numFmt w:val="bullet"/>
      <w:lvlText w:val="•"/>
      <w:lvlJc w:val="left"/>
      <w:pPr>
        <w:tabs>
          <w:tab w:val="num" w:pos="5760"/>
        </w:tabs>
        <w:ind w:left="5760" w:hanging="360"/>
      </w:pPr>
      <w:rPr>
        <w:rFonts w:ascii="Arial" w:hAnsi="Arial" w:hint="default"/>
      </w:rPr>
    </w:lvl>
    <w:lvl w:ilvl="8" w:tplc="FB826C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3547F5"/>
    <w:multiLevelType w:val="hybridMultilevel"/>
    <w:tmpl w:val="6B88D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C3455C"/>
    <w:multiLevelType w:val="multilevel"/>
    <w:tmpl w:val="7BC34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2"/>
  </w:num>
  <w:num w:numId="4">
    <w:abstractNumId w:val="7"/>
  </w:num>
  <w:num w:numId="5">
    <w:abstractNumId w:val="5"/>
  </w:num>
  <w:num w:numId="6">
    <w:abstractNumId w:val="9"/>
  </w:num>
  <w:num w:numId="7">
    <w:abstractNumId w:val="12"/>
  </w:num>
  <w:num w:numId="8">
    <w:abstractNumId w:val="11"/>
  </w:num>
  <w:num w:numId="9">
    <w:abstractNumId w:val="6"/>
  </w:num>
  <w:num w:numId="10">
    <w:abstractNumId w:val="4"/>
  </w:num>
  <w:num w:numId="11">
    <w:abstractNumId w:val="0"/>
  </w:num>
  <w:num w:numId="12">
    <w:abstractNumId w:val="10"/>
  </w:num>
  <w:num w:numId="13">
    <w:abstractNumId w:val="3"/>
  </w:num>
  <w:num w:numId="14">
    <w:abstractNumId w:val="13"/>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CF"/>
    <w:rsid w:val="0000184C"/>
    <w:rsid w:val="00003B0B"/>
    <w:rsid w:val="00005508"/>
    <w:rsid w:val="00005B46"/>
    <w:rsid w:val="00005DAF"/>
    <w:rsid w:val="0000736E"/>
    <w:rsid w:val="00010CE1"/>
    <w:rsid w:val="000113AE"/>
    <w:rsid w:val="00011C17"/>
    <w:rsid w:val="000166A3"/>
    <w:rsid w:val="00017192"/>
    <w:rsid w:val="000171A8"/>
    <w:rsid w:val="00017F26"/>
    <w:rsid w:val="000210B4"/>
    <w:rsid w:val="00024B9E"/>
    <w:rsid w:val="0002514C"/>
    <w:rsid w:val="00026C73"/>
    <w:rsid w:val="00027CA6"/>
    <w:rsid w:val="00031FCB"/>
    <w:rsid w:val="0003234D"/>
    <w:rsid w:val="00032479"/>
    <w:rsid w:val="00032B5C"/>
    <w:rsid w:val="000331B6"/>
    <w:rsid w:val="00034595"/>
    <w:rsid w:val="00034C8F"/>
    <w:rsid w:val="00035C5A"/>
    <w:rsid w:val="00040B32"/>
    <w:rsid w:val="0004310C"/>
    <w:rsid w:val="00043BA1"/>
    <w:rsid w:val="0004767E"/>
    <w:rsid w:val="00047729"/>
    <w:rsid w:val="000503F0"/>
    <w:rsid w:val="000513E1"/>
    <w:rsid w:val="000528AD"/>
    <w:rsid w:val="00052942"/>
    <w:rsid w:val="00052F3D"/>
    <w:rsid w:val="000545F4"/>
    <w:rsid w:val="00055DD8"/>
    <w:rsid w:val="00056BE0"/>
    <w:rsid w:val="000572E0"/>
    <w:rsid w:val="00057C69"/>
    <w:rsid w:val="000629C1"/>
    <w:rsid w:val="00065A2B"/>
    <w:rsid w:val="00066E97"/>
    <w:rsid w:val="0006758D"/>
    <w:rsid w:val="00067BD6"/>
    <w:rsid w:val="00067EE2"/>
    <w:rsid w:val="0007089B"/>
    <w:rsid w:val="00070A31"/>
    <w:rsid w:val="000727C7"/>
    <w:rsid w:val="000738DD"/>
    <w:rsid w:val="00073961"/>
    <w:rsid w:val="0007671D"/>
    <w:rsid w:val="0007674F"/>
    <w:rsid w:val="000804FA"/>
    <w:rsid w:val="000838E3"/>
    <w:rsid w:val="00083A91"/>
    <w:rsid w:val="000840E1"/>
    <w:rsid w:val="00085CE8"/>
    <w:rsid w:val="000903A5"/>
    <w:rsid w:val="00090DED"/>
    <w:rsid w:val="000918B8"/>
    <w:rsid w:val="00091EEC"/>
    <w:rsid w:val="0009202B"/>
    <w:rsid w:val="00092C1F"/>
    <w:rsid w:val="0009420A"/>
    <w:rsid w:val="000966A0"/>
    <w:rsid w:val="000A0BC7"/>
    <w:rsid w:val="000A255D"/>
    <w:rsid w:val="000A26E0"/>
    <w:rsid w:val="000A4316"/>
    <w:rsid w:val="000A47AA"/>
    <w:rsid w:val="000A56CF"/>
    <w:rsid w:val="000A582E"/>
    <w:rsid w:val="000A6A63"/>
    <w:rsid w:val="000A6BDC"/>
    <w:rsid w:val="000A7523"/>
    <w:rsid w:val="000B1EC6"/>
    <w:rsid w:val="000B4E65"/>
    <w:rsid w:val="000B5DD5"/>
    <w:rsid w:val="000B5F00"/>
    <w:rsid w:val="000B6D39"/>
    <w:rsid w:val="000C2C74"/>
    <w:rsid w:val="000C6BAF"/>
    <w:rsid w:val="000C6C9F"/>
    <w:rsid w:val="000C7768"/>
    <w:rsid w:val="000C7A48"/>
    <w:rsid w:val="000D275A"/>
    <w:rsid w:val="000D40F4"/>
    <w:rsid w:val="000D46B5"/>
    <w:rsid w:val="000D52F6"/>
    <w:rsid w:val="000D5531"/>
    <w:rsid w:val="000D61FB"/>
    <w:rsid w:val="000D71CE"/>
    <w:rsid w:val="000D73B8"/>
    <w:rsid w:val="000D7856"/>
    <w:rsid w:val="000E0FA0"/>
    <w:rsid w:val="000E1645"/>
    <w:rsid w:val="000E77F8"/>
    <w:rsid w:val="000F1B04"/>
    <w:rsid w:val="000F3B91"/>
    <w:rsid w:val="000F65AA"/>
    <w:rsid w:val="000F6BF7"/>
    <w:rsid w:val="000F6CF7"/>
    <w:rsid w:val="000F77C4"/>
    <w:rsid w:val="00101FCE"/>
    <w:rsid w:val="00102586"/>
    <w:rsid w:val="001029CF"/>
    <w:rsid w:val="00103BA1"/>
    <w:rsid w:val="00104592"/>
    <w:rsid w:val="001048A2"/>
    <w:rsid w:val="001070DF"/>
    <w:rsid w:val="00107831"/>
    <w:rsid w:val="00107FCC"/>
    <w:rsid w:val="001105B1"/>
    <w:rsid w:val="00110996"/>
    <w:rsid w:val="00112CC5"/>
    <w:rsid w:val="00112E16"/>
    <w:rsid w:val="00112FBB"/>
    <w:rsid w:val="00113794"/>
    <w:rsid w:val="00114143"/>
    <w:rsid w:val="001156E4"/>
    <w:rsid w:val="00115C7A"/>
    <w:rsid w:val="00116189"/>
    <w:rsid w:val="00122012"/>
    <w:rsid w:val="001221EC"/>
    <w:rsid w:val="00122607"/>
    <w:rsid w:val="00126E1A"/>
    <w:rsid w:val="00127C59"/>
    <w:rsid w:val="00130790"/>
    <w:rsid w:val="00133943"/>
    <w:rsid w:val="001352F6"/>
    <w:rsid w:val="00135A9A"/>
    <w:rsid w:val="00136532"/>
    <w:rsid w:val="0013669E"/>
    <w:rsid w:val="00136F63"/>
    <w:rsid w:val="00137082"/>
    <w:rsid w:val="001375DE"/>
    <w:rsid w:val="00140520"/>
    <w:rsid w:val="00141B21"/>
    <w:rsid w:val="00142D3C"/>
    <w:rsid w:val="001509C7"/>
    <w:rsid w:val="00151AB9"/>
    <w:rsid w:val="00152B07"/>
    <w:rsid w:val="001532A8"/>
    <w:rsid w:val="001577B3"/>
    <w:rsid w:val="00157F58"/>
    <w:rsid w:val="00161AAC"/>
    <w:rsid w:val="0017059C"/>
    <w:rsid w:val="001725C9"/>
    <w:rsid w:val="00173707"/>
    <w:rsid w:val="00174634"/>
    <w:rsid w:val="001763E2"/>
    <w:rsid w:val="00176D9D"/>
    <w:rsid w:val="00177F3E"/>
    <w:rsid w:val="0018002C"/>
    <w:rsid w:val="001818A0"/>
    <w:rsid w:val="00183BAB"/>
    <w:rsid w:val="00185F38"/>
    <w:rsid w:val="00187FF3"/>
    <w:rsid w:val="00193EB3"/>
    <w:rsid w:val="001954BB"/>
    <w:rsid w:val="0019593A"/>
    <w:rsid w:val="00195EC5"/>
    <w:rsid w:val="00196930"/>
    <w:rsid w:val="00196BEA"/>
    <w:rsid w:val="00197196"/>
    <w:rsid w:val="001978F0"/>
    <w:rsid w:val="00197E22"/>
    <w:rsid w:val="001A3A53"/>
    <w:rsid w:val="001A6374"/>
    <w:rsid w:val="001A735C"/>
    <w:rsid w:val="001B3163"/>
    <w:rsid w:val="001B772F"/>
    <w:rsid w:val="001C0C6D"/>
    <w:rsid w:val="001C1697"/>
    <w:rsid w:val="001C1A7E"/>
    <w:rsid w:val="001C1EFB"/>
    <w:rsid w:val="001C22A2"/>
    <w:rsid w:val="001C5826"/>
    <w:rsid w:val="001D24F8"/>
    <w:rsid w:val="001D6AF0"/>
    <w:rsid w:val="001D6D43"/>
    <w:rsid w:val="001E0C90"/>
    <w:rsid w:val="001E10AD"/>
    <w:rsid w:val="001E1147"/>
    <w:rsid w:val="001E2260"/>
    <w:rsid w:val="001E33E9"/>
    <w:rsid w:val="001E3853"/>
    <w:rsid w:val="001E3D0F"/>
    <w:rsid w:val="001E6A41"/>
    <w:rsid w:val="001E6EF5"/>
    <w:rsid w:val="001E78AE"/>
    <w:rsid w:val="001E7AB4"/>
    <w:rsid w:val="001E7C34"/>
    <w:rsid w:val="001F25C9"/>
    <w:rsid w:val="001F27C5"/>
    <w:rsid w:val="001F323D"/>
    <w:rsid w:val="001F37E6"/>
    <w:rsid w:val="00201CE6"/>
    <w:rsid w:val="00202D25"/>
    <w:rsid w:val="00203C3F"/>
    <w:rsid w:val="00205313"/>
    <w:rsid w:val="002106AB"/>
    <w:rsid w:val="002113D9"/>
    <w:rsid w:val="002132D6"/>
    <w:rsid w:val="00220F5B"/>
    <w:rsid w:val="002223F6"/>
    <w:rsid w:val="00224788"/>
    <w:rsid w:val="0022517C"/>
    <w:rsid w:val="002251A7"/>
    <w:rsid w:val="002251E8"/>
    <w:rsid w:val="00225203"/>
    <w:rsid w:val="002279CC"/>
    <w:rsid w:val="00230F04"/>
    <w:rsid w:val="00231A31"/>
    <w:rsid w:val="00233CEA"/>
    <w:rsid w:val="00233FB9"/>
    <w:rsid w:val="002341FD"/>
    <w:rsid w:val="002344DD"/>
    <w:rsid w:val="00234879"/>
    <w:rsid w:val="00234E8D"/>
    <w:rsid w:val="00235085"/>
    <w:rsid w:val="002414FD"/>
    <w:rsid w:val="00242356"/>
    <w:rsid w:val="00242F1F"/>
    <w:rsid w:val="00244647"/>
    <w:rsid w:val="00244822"/>
    <w:rsid w:val="0024534C"/>
    <w:rsid w:val="002457E7"/>
    <w:rsid w:val="00246DFC"/>
    <w:rsid w:val="002531F2"/>
    <w:rsid w:val="00253FFD"/>
    <w:rsid w:val="0025737E"/>
    <w:rsid w:val="00257C9F"/>
    <w:rsid w:val="002600A9"/>
    <w:rsid w:val="00260FFF"/>
    <w:rsid w:val="00261150"/>
    <w:rsid w:val="002615AF"/>
    <w:rsid w:val="00261A7D"/>
    <w:rsid w:val="00261C86"/>
    <w:rsid w:val="002623BF"/>
    <w:rsid w:val="00263A98"/>
    <w:rsid w:val="00263C7A"/>
    <w:rsid w:val="00264158"/>
    <w:rsid w:val="00264A4A"/>
    <w:rsid w:val="00264C51"/>
    <w:rsid w:val="00265862"/>
    <w:rsid w:val="002659A3"/>
    <w:rsid w:val="00265BE4"/>
    <w:rsid w:val="002671B6"/>
    <w:rsid w:val="00271418"/>
    <w:rsid w:val="00271870"/>
    <w:rsid w:val="00271EAF"/>
    <w:rsid w:val="00272414"/>
    <w:rsid w:val="002727A6"/>
    <w:rsid w:val="00272B5B"/>
    <w:rsid w:val="00273078"/>
    <w:rsid w:val="00273DE8"/>
    <w:rsid w:val="00274D52"/>
    <w:rsid w:val="00275739"/>
    <w:rsid w:val="0027752E"/>
    <w:rsid w:val="002808B1"/>
    <w:rsid w:val="00282100"/>
    <w:rsid w:val="002839D3"/>
    <w:rsid w:val="00283A66"/>
    <w:rsid w:val="00287C4D"/>
    <w:rsid w:val="002915A0"/>
    <w:rsid w:val="00291932"/>
    <w:rsid w:val="00291A0A"/>
    <w:rsid w:val="00292286"/>
    <w:rsid w:val="00294809"/>
    <w:rsid w:val="00297554"/>
    <w:rsid w:val="00297565"/>
    <w:rsid w:val="00297C5D"/>
    <w:rsid w:val="002A0134"/>
    <w:rsid w:val="002A0BBF"/>
    <w:rsid w:val="002A111B"/>
    <w:rsid w:val="002A1A04"/>
    <w:rsid w:val="002A4597"/>
    <w:rsid w:val="002A56ED"/>
    <w:rsid w:val="002B02F1"/>
    <w:rsid w:val="002B139F"/>
    <w:rsid w:val="002B4048"/>
    <w:rsid w:val="002B583E"/>
    <w:rsid w:val="002B71CD"/>
    <w:rsid w:val="002B758C"/>
    <w:rsid w:val="002C2E73"/>
    <w:rsid w:val="002C3A23"/>
    <w:rsid w:val="002C5AE8"/>
    <w:rsid w:val="002C64AF"/>
    <w:rsid w:val="002D1A35"/>
    <w:rsid w:val="002D2D4F"/>
    <w:rsid w:val="002D4A18"/>
    <w:rsid w:val="002D4A4B"/>
    <w:rsid w:val="002D4A90"/>
    <w:rsid w:val="002D4B7F"/>
    <w:rsid w:val="002D5784"/>
    <w:rsid w:val="002D5B22"/>
    <w:rsid w:val="002D5C28"/>
    <w:rsid w:val="002D5EAC"/>
    <w:rsid w:val="002E0289"/>
    <w:rsid w:val="002E0DD3"/>
    <w:rsid w:val="002E16FE"/>
    <w:rsid w:val="002E3AE5"/>
    <w:rsid w:val="002E3D7D"/>
    <w:rsid w:val="002E5B3E"/>
    <w:rsid w:val="002F02A2"/>
    <w:rsid w:val="002F0C13"/>
    <w:rsid w:val="002F4C1D"/>
    <w:rsid w:val="002F4CC2"/>
    <w:rsid w:val="002F5926"/>
    <w:rsid w:val="002F742B"/>
    <w:rsid w:val="002F747F"/>
    <w:rsid w:val="002F7AA0"/>
    <w:rsid w:val="00301F96"/>
    <w:rsid w:val="00304158"/>
    <w:rsid w:val="0030419B"/>
    <w:rsid w:val="00304B02"/>
    <w:rsid w:val="00304E13"/>
    <w:rsid w:val="00306A70"/>
    <w:rsid w:val="00306BDD"/>
    <w:rsid w:val="00312022"/>
    <w:rsid w:val="0031239A"/>
    <w:rsid w:val="00313A8E"/>
    <w:rsid w:val="00314013"/>
    <w:rsid w:val="0031581D"/>
    <w:rsid w:val="00317311"/>
    <w:rsid w:val="0033328B"/>
    <w:rsid w:val="00334CBC"/>
    <w:rsid w:val="00335202"/>
    <w:rsid w:val="0033579C"/>
    <w:rsid w:val="00336B9D"/>
    <w:rsid w:val="00337A0C"/>
    <w:rsid w:val="003421E0"/>
    <w:rsid w:val="0034645B"/>
    <w:rsid w:val="00346715"/>
    <w:rsid w:val="0034784D"/>
    <w:rsid w:val="0035175D"/>
    <w:rsid w:val="00353E35"/>
    <w:rsid w:val="00354B7B"/>
    <w:rsid w:val="003609AC"/>
    <w:rsid w:val="00361D68"/>
    <w:rsid w:val="00362D77"/>
    <w:rsid w:val="00362FB1"/>
    <w:rsid w:val="0036311E"/>
    <w:rsid w:val="00363760"/>
    <w:rsid w:val="0036381E"/>
    <w:rsid w:val="00364328"/>
    <w:rsid w:val="00366052"/>
    <w:rsid w:val="00366144"/>
    <w:rsid w:val="003676AE"/>
    <w:rsid w:val="003707D6"/>
    <w:rsid w:val="00370C23"/>
    <w:rsid w:val="00370D5B"/>
    <w:rsid w:val="0037189A"/>
    <w:rsid w:val="0037228F"/>
    <w:rsid w:val="0037309B"/>
    <w:rsid w:val="003732C2"/>
    <w:rsid w:val="0037506E"/>
    <w:rsid w:val="0037565A"/>
    <w:rsid w:val="00377538"/>
    <w:rsid w:val="00377B19"/>
    <w:rsid w:val="003815AA"/>
    <w:rsid w:val="00381CFA"/>
    <w:rsid w:val="00383D25"/>
    <w:rsid w:val="00384434"/>
    <w:rsid w:val="003854F9"/>
    <w:rsid w:val="00385C59"/>
    <w:rsid w:val="00387935"/>
    <w:rsid w:val="00390454"/>
    <w:rsid w:val="003917D6"/>
    <w:rsid w:val="00391987"/>
    <w:rsid w:val="0039344A"/>
    <w:rsid w:val="00394104"/>
    <w:rsid w:val="003953AD"/>
    <w:rsid w:val="00395B11"/>
    <w:rsid w:val="0039606E"/>
    <w:rsid w:val="003962B3"/>
    <w:rsid w:val="003969E5"/>
    <w:rsid w:val="0039769D"/>
    <w:rsid w:val="00397A5D"/>
    <w:rsid w:val="00397E01"/>
    <w:rsid w:val="003A0FD5"/>
    <w:rsid w:val="003A5B6B"/>
    <w:rsid w:val="003B23D6"/>
    <w:rsid w:val="003B4FB8"/>
    <w:rsid w:val="003B73D9"/>
    <w:rsid w:val="003C1D33"/>
    <w:rsid w:val="003C2ACD"/>
    <w:rsid w:val="003C2AD9"/>
    <w:rsid w:val="003C3993"/>
    <w:rsid w:val="003C4F37"/>
    <w:rsid w:val="003C569C"/>
    <w:rsid w:val="003C5D88"/>
    <w:rsid w:val="003C6090"/>
    <w:rsid w:val="003C6ADF"/>
    <w:rsid w:val="003C71B7"/>
    <w:rsid w:val="003C7292"/>
    <w:rsid w:val="003D1172"/>
    <w:rsid w:val="003D23A1"/>
    <w:rsid w:val="003D5EE8"/>
    <w:rsid w:val="003D6D48"/>
    <w:rsid w:val="003D7139"/>
    <w:rsid w:val="003D793D"/>
    <w:rsid w:val="003E249C"/>
    <w:rsid w:val="003E336E"/>
    <w:rsid w:val="003E4F83"/>
    <w:rsid w:val="003E651A"/>
    <w:rsid w:val="003E727E"/>
    <w:rsid w:val="003F0895"/>
    <w:rsid w:val="003F1718"/>
    <w:rsid w:val="003F2616"/>
    <w:rsid w:val="003F3D66"/>
    <w:rsid w:val="003F59BA"/>
    <w:rsid w:val="003F7282"/>
    <w:rsid w:val="00400AAA"/>
    <w:rsid w:val="004013C5"/>
    <w:rsid w:val="00402EC4"/>
    <w:rsid w:val="004047B0"/>
    <w:rsid w:val="00407071"/>
    <w:rsid w:val="004072CA"/>
    <w:rsid w:val="00407C7B"/>
    <w:rsid w:val="00407DD7"/>
    <w:rsid w:val="004119EE"/>
    <w:rsid w:val="00411E51"/>
    <w:rsid w:val="00414891"/>
    <w:rsid w:val="004158DF"/>
    <w:rsid w:val="00421132"/>
    <w:rsid w:val="004214D5"/>
    <w:rsid w:val="00423533"/>
    <w:rsid w:val="00424E6B"/>
    <w:rsid w:val="00425044"/>
    <w:rsid w:val="00426414"/>
    <w:rsid w:val="00426835"/>
    <w:rsid w:val="00426867"/>
    <w:rsid w:val="00426943"/>
    <w:rsid w:val="0042732F"/>
    <w:rsid w:val="0042747A"/>
    <w:rsid w:val="004325B4"/>
    <w:rsid w:val="00433475"/>
    <w:rsid w:val="00436B21"/>
    <w:rsid w:val="00436F38"/>
    <w:rsid w:val="0044374A"/>
    <w:rsid w:val="00445615"/>
    <w:rsid w:val="004469CB"/>
    <w:rsid w:val="004472EF"/>
    <w:rsid w:val="0044749F"/>
    <w:rsid w:val="00450643"/>
    <w:rsid w:val="00454671"/>
    <w:rsid w:val="004547FD"/>
    <w:rsid w:val="00456201"/>
    <w:rsid w:val="004564C9"/>
    <w:rsid w:val="00460E36"/>
    <w:rsid w:val="00463329"/>
    <w:rsid w:val="004644C6"/>
    <w:rsid w:val="0046742F"/>
    <w:rsid w:val="004707FE"/>
    <w:rsid w:val="00471CE5"/>
    <w:rsid w:val="00471D55"/>
    <w:rsid w:val="00474326"/>
    <w:rsid w:val="00475B6A"/>
    <w:rsid w:val="0047651B"/>
    <w:rsid w:val="004810FB"/>
    <w:rsid w:val="004815AA"/>
    <w:rsid w:val="00481988"/>
    <w:rsid w:val="00482516"/>
    <w:rsid w:val="004835C2"/>
    <w:rsid w:val="00483FE8"/>
    <w:rsid w:val="00484319"/>
    <w:rsid w:val="00484A00"/>
    <w:rsid w:val="0048604F"/>
    <w:rsid w:val="00490BB7"/>
    <w:rsid w:val="00491ACE"/>
    <w:rsid w:val="00494509"/>
    <w:rsid w:val="004960F9"/>
    <w:rsid w:val="00496B22"/>
    <w:rsid w:val="00497907"/>
    <w:rsid w:val="004A0532"/>
    <w:rsid w:val="004A0577"/>
    <w:rsid w:val="004A0F80"/>
    <w:rsid w:val="004A1AC3"/>
    <w:rsid w:val="004A1B42"/>
    <w:rsid w:val="004A271C"/>
    <w:rsid w:val="004A3FCB"/>
    <w:rsid w:val="004A481C"/>
    <w:rsid w:val="004A56F6"/>
    <w:rsid w:val="004A5D87"/>
    <w:rsid w:val="004A6CE8"/>
    <w:rsid w:val="004A72D6"/>
    <w:rsid w:val="004A7412"/>
    <w:rsid w:val="004A7FB4"/>
    <w:rsid w:val="004B189C"/>
    <w:rsid w:val="004B1E09"/>
    <w:rsid w:val="004B2B19"/>
    <w:rsid w:val="004B5186"/>
    <w:rsid w:val="004C07B9"/>
    <w:rsid w:val="004C19DE"/>
    <w:rsid w:val="004C242D"/>
    <w:rsid w:val="004C2A71"/>
    <w:rsid w:val="004C2F9B"/>
    <w:rsid w:val="004C48C0"/>
    <w:rsid w:val="004C50B7"/>
    <w:rsid w:val="004C5EA0"/>
    <w:rsid w:val="004C6E6A"/>
    <w:rsid w:val="004C7CA1"/>
    <w:rsid w:val="004D1FEF"/>
    <w:rsid w:val="004D327A"/>
    <w:rsid w:val="004D3A28"/>
    <w:rsid w:val="004D4D8F"/>
    <w:rsid w:val="004D60A5"/>
    <w:rsid w:val="004D6BE6"/>
    <w:rsid w:val="004D6E27"/>
    <w:rsid w:val="004E4A88"/>
    <w:rsid w:val="004E5A75"/>
    <w:rsid w:val="004F16A4"/>
    <w:rsid w:val="004F2331"/>
    <w:rsid w:val="004F5929"/>
    <w:rsid w:val="004F5F66"/>
    <w:rsid w:val="004F62BF"/>
    <w:rsid w:val="004F6580"/>
    <w:rsid w:val="004F6A2B"/>
    <w:rsid w:val="004F75AB"/>
    <w:rsid w:val="00501411"/>
    <w:rsid w:val="00503328"/>
    <w:rsid w:val="00503758"/>
    <w:rsid w:val="0050387C"/>
    <w:rsid w:val="00504DD3"/>
    <w:rsid w:val="00505825"/>
    <w:rsid w:val="00510570"/>
    <w:rsid w:val="00510AA5"/>
    <w:rsid w:val="0051167F"/>
    <w:rsid w:val="005121E7"/>
    <w:rsid w:val="005126EE"/>
    <w:rsid w:val="00512EC1"/>
    <w:rsid w:val="005161F9"/>
    <w:rsid w:val="00516FE5"/>
    <w:rsid w:val="0051713D"/>
    <w:rsid w:val="005244EA"/>
    <w:rsid w:val="00526BF0"/>
    <w:rsid w:val="00526C34"/>
    <w:rsid w:val="005270C8"/>
    <w:rsid w:val="00534E3D"/>
    <w:rsid w:val="0053591A"/>
    <w:rsid w:val="00536DCC"/>
    <w:rsid w:val="00536F4B"/>
    <w:rsid w:val="00540D27"/>
    <w:rsid w:val="00541249"/>
    <w:rsid w:val="005416B6"/>
    <w:rsid w:val="0054313C"/>
    <w:rsid w:val="00544F85"/>
    <w:rsid w:val="005454F0"/>
    <w:rsid w:val="00545A34"/>
    <w:rsid w:val="00546F21"/>
    <w:rsid w:val="00550618"/>
    <w:rsid w:val="00550CEF"/>
    <w:rsid w:val="005515BC"/>
    <w:rsid w:val="00551A2D"/>
    <w:rsid w:val="005555BE"/>
    <w:rsid w:val="00556016"/>
    <w:rsid w:val="0055631A"/>
    <w:rsid w:val="00556516"/>
    <w:rsid w:val="00556A43"/>
    <w:rsid w:val="00557D19"/>
    <w:rsid w:val="005607DF"/>
    <w:rsid w:val="00562B24"/>
    <w:rsid w:val="00563A13"/>
    <w:rsid w:val="00564B7B"/>
    <w:rsid w:val="00565463"/>
    <w:rsid w:val="00565F1E"/>
    <w:rsid w:val="00566381"/>
    <w:rsid w:val="00567AE5"/>
    <w:rsid w:val="00570521"/>
    <w:rsid w:val="00570BC0"/>
    <w:rsid w:val="00571270"/>
    <w:rsid w:val="0057175E"/>
    <w:rsid w:val="00573A7E"/>
    <w:rsid w:val="00575201"/>
    <w:rsid w:val="0057684B"/>
    <w:rsid w:val="00576EF8"/>
    <w:rsid w:val="0057769C"/>
    <w:rsid w:val="00577F0C"/>
    <w:rsid w:val="005815F2"/>
    <w:rsid w:val="00581CF4"/>
    <w:rsid w:val="005832D6"/>
    <w:rsid w:val="0058335F"/>
    <w:rsid w:val="00585775"/>
    <w:rsid w:val="00587954"/>
    <w:rsid w:val="005900E0"/>
    <w:rsid w:val="005906B2"/>
    <w:rsid w:val="0059642D"/>
    <w:rsid w:val="00596CC6"/>
    <w:rsid w:val="005A0992"/>
    <w:rsid w:val="005A105F"/>
    <w:rsid w:val="005A1144"/>
    <w:rsid w:val="005A1208"/>
    <w:rsid w:val="005A274F"/>
    <w:rsid w:val="005A2995"/>
    <w:rsid w:val="005A2CA6"/>
    <w:rsid w:val="005A3DE2"/>
    <w:rsid w:val="005A6780"/>
    <w:rsid w:val="005A7B95"/>
    <w:rsid w:val="005B05B8"/>
    <w:rsid w:val="005B39FE"/>
    <w:rsid w:val="005B45A8"/>
    <w:rsid w:val="005B5A70"/>
    <w:rsid w:val="005B75F2"/>
    <w:rsid w:val="005C06F8"/>
    <w:rsid w:val="005C1162"/>
    <w:rsid w:val="005C15E7"/>
    <w:rsid w:val="005C3221"/>
    <w:rsid w:val="005C3D38"/>
    <w:rsid w:val="005C4643"/>
    <w:rsid w:val="005C54F5"/>
    <w:rsid w:val="005C5DF0"/>
    <w:rsid w:val="005C5E1F"/>
    <w:rsid w:val="005C6212"/>
    <w:rsid w:val="005C73A4"/>
    <w:rsid w:val="005C7601"/>
    <w:rsid w:val="005D0FFE"/>
    <w:rsid w:val="005D3B69"/>
    <w:rsid w:val="005D715E"/>
    <w:rsid w:val="005D7B79"/>
    <w:rsid w:val="005E0E99"/>
    <w:rsid w:val="005E2594"/>
    <w:rsid w:val="005E41C2"/>
    <w:rsid w:val="005E4216"/>
    <w:rsid w:val="005E78C1"/>
    <w:rsid w:val="005F34FD"/>
    <w:rsid w:val="005F43C9"/>
    <w:rsid w:val="005F541E"/>
    <w:rsid w:val="005F5FB5"/>
    <w:rsid w:val="005F726F"/>
    <w:rsid w:val="006002BA"/>
    <w:rsid w:val="00602CAD"/>
    <w:rsid w:val="006034D1"/>
    <w:rsid w:val="00603A83"/>
    <w:rsid w:val="00603F8F"/>
    <w:rsid w:val="006041DB"/>
    <w:rsid w:val="00605103"/>
    <w:rsid w:val="006102A1"/>
    <w:rsid w:val="00611C2C"/>
    <w:rsid w:val="0061313C"/>
    <w:rsid w:val="006133DE"/>
    <w:rsid w:val="00613A67"/>
    <w:rsid w:val="00615C42"/>
    <w:rsid w:val="006179F3"/>
    <w:rsid w:val="00620183"/>
    <w:rsid w:val="00620F16"/>
    <w:rsid w:val="00620FA5"/>
    <w:rsid w:val="00622A1C"/>
    <w:rsid w:val="0062413A"/>
    <w:rsid w:val="0062427A"/>
    <w:rsid w:val="006301A6"/>
    <w:rsid w:val="00630B31"/>
    <w:rsid w:val="006312AF"/>
    <w:rsid w:val="00632CD1"/>
    <w:rsid w:val="0063322E"/>
    <w:rsid w:val="006337AA"/>
    <w:rsid w:val="00634F45"/>
    <w:rsid w:val="00636F81"/>
    <w:rsid w:val="006414AE"/>
    <w:rsid w:val="00642528"/>
    <w:rsid w:val="00642AD0"/>
    <w:rsid w:val="006438A5"/>
    <w:rsid w:val="00644F06"/>
    <w:rsid w:val="00645246"/>
    <w:rsid w:val="00645E64"/>
    <w:rsid w:val="00646713"/>
    <w:rsid w:val="00646743"/>
    <w:rsid w:val="006472CF"/>
    <w:rsid w:val="0065075A"/>
    <w:rsid w:val="00650E9B"/>
    <w:rsid w:val="00652138"/>
    <w:rsid w:val="00652C3A"/>
    <w:rsid w:val="00652E09"/>
    <w:rsid w:val="00655EF6"/>
    <w:rsid w:val="006575C0"/>
    <w:rsid w:val="0066073A"/>
    <w:rsid w:val="00660C31"/>
    <w:rsid w:val="00660E91"/>
    <w:rsid w:val="00660ED5"/>
    <w:rsid w:val="00661178"/>
    <w:rsid w:val="00661A58"/>
    <w:rsid w:val="00663EB1"/>
    <w:rsid w:val="006641E6"/>
    <w:rsid w:val="006655E7"/>
    <w:rsid w:val="00666BF2"/>
    <w:rsid w:val="006673D7"/>
    <w:rsid w:val="006677F4"/>
    <w:rsid w:val="00674D96"/>
    <w:rsid w:val="00676888"/>
    <w:rsid w:val="00676C56"/>
    <w:rsid w:val="00677B1C"/>
    <w:rsid w:val="006818E1"/>
    <w:rsid w:val="00684E69"/>
    <w:rsid w:val="00684EBB"/>
    <w:rsid w:val="00685D22"/>
    <w:rsid w:val="00686F80"/>
    <w:rsid w:val="00691496"/>
    <w:rsid w:val="00693DDE"/>
    <w:rsid w:val="006941D4"/>
    <w:rsid w:val="00695984"/>
    <w:rsid w:val="006A183A"/>
    <w:rsid w:val="006A3C88"/>
    <w:rsid w:val="006A456D"/>
    <w:rsid w:val="006A4FAB"/>
    <w:rsid w:val="006A556A"/>
    <w:rsid w:val="006A7997"/>
    <w:rsid w:val="006B1983"/>
    <w:rsid w:val="006B1A16"/>
    <w:rsid w:val="006B2219"/>
    <w:rsid w:val="006B22CB"/>
    <w:rsid w:val="006B2594"/>
    <w:rsid w:val="006B381F"/>
    <w:rsid w:val="006B45C9"/>
    <w:rsid w:val="006B6752"/>
    <w:rsid w:val="006C16DB"/>
    <w:rsid w:val="006C2E04"/>
    <w:rsid w:val="006C3DE1"/>
    <w:rsid w:val="006C602C"/>
    <w:rsid w:val="006C690F"/>
    <w:rsid w:val="006C6B11"/>
    <w:rsid w:val="006C74CE"/>
    <w:rsid w:val="006C7DB8"/>
    <w:rsid w:val="006D2BD2"/>
    <w:rsid w:val="006D3A9E"/>
    <w:rsid w:val="006D445C"/>
    <w:rsid w:val="006D6955"/>
    <w:rsid w:val="006D69CC"/>
    <w:rsid w:val="006D74D3"/>
    <w:rsid w:val="006E5FB7"/>
    <w:rsid w:val="006F08F6"/>
    <w:rsid w:val="006F3732"/>
    <w:rsid w:val="006F4D8A"/>
    <w:rsid w:val="006F515C"/>
    <w:rsid w:val="006F58AF"/>
    <w:rsid w:val="00701930"/>
    <w:rsid w:val="00701F86"/>
    <w:rsid w:val="00703271"/>
    <w:rsid w:val="007033A3"/>
    <w:rsid w:val="00703E9E"/>
    <w:rsid w:val="00710250"/>
    <w:rsid w:val="007108FB"/>
    <w:rsid w:val="007134DB"/>
    <w:rsid w:val="00714018"/>
    <w:rsid w:val="00715124"/>
    <w:rsid w:val="00717144"/>
    <w:rsid w:val="007177BC"/>
    <w:rsid w:val="0071789E"/>
    <w:rsid w:val="0072014F"/>
    <w:rsid w:val="007201EC"/>
    <w:rsid w:val="00720901"/>
    <w:rsid w:val="00721281"/>
    <w:rsid w:val="0072297D"/>
    <w:rsid w:val="0072612A"/>
    <w:rsid w:val="007264EE"/>
    <w:rsid w:val="007274CB"/>
    <w:rsid w:val="00727935"/>
    <w:rsid w:val="00731594"/>
    <w:rsid w:val="00732577"/>
    <w:rsid w:val="00734BC0"/>
    <w:rsid w:val="00734CF2"/>
    <w:rsid w:val="00735165"/>
    <w:rsid w:val="00736AE5"/>
    <w:rsid w:val="00736B66"/>
    <w:rsid w:val="00736F34"/>
    <w:rsid w:val="00741A90"/>
    <w:rsid w:val="00743E60"/>
    <w:rsid w:val="00743F03"/>
    <w:rsid w:val="00745EFC"/>
    <w:rsid w:val="007472C6"/>
    <w:rsid w:val="00754C25"/>
    <w:rsid w:val="00754CCC"/>
    <w:rsid w:val="00756E53"/>
    <w:rsid w:val="00760C5B"/>
    <w:rsid w:val="00762C32"/>
    <w:rsid w:val="00763053"/>
    <w:rsid w:val="00764079"/>
    <w:rsid w:val="00764959"/>
    <w:rsid w:val="00765FC8"/>
    <w:rsid w:val="00771460"/>
    <w:rsid w:val="00774351"/>
    <w:rsid w:val="007743D7"/>
    <w:rsid w:val="00774BF8"/>
    <w:rsid w:val="00775412"/>
    <w:rsid w:val="007776F2"/>
    <w:rsid w:val="00781586"/>
    <w:rsid w:val="00782CD3"/>
    <w:rsid w:val="007855D0"/>
    <w:rsid w:val="00787739"/>
    <w:rsid w:val="0078778E"/>
    <w:rsid w:val="0078787D"/>
    <w:rsid w:val="00790CF2"/>
    <w:rsid w:val="00793188"/>
    <w:rsid w:val="00793244"/>
    <w:rsid w:val="00793387"/>
    <w:rsid w:val="00794537"/>
    <w:rsid w:val="0079565B"/>
    <w:rsid w:val="007A12FB"/>
    <w:rsid w:val="007A2B56"/>
    <w:rsid w:val="007A3833"/>
    <w:rsid w:val="007A50FC"/>
    <w:rsid w:val="007A53E5"/>
    <w:rsid w:val="007A5DC8"/>
    <w:rsid w:val="007A5FA9"/>
    <w:rsid w:val="007A7B6C"/>
    <w:rsid w:val="007B0356"/>
    <w:rsid w:val="007B3906"/>
    <w:rsid w:val="007B3D91"/>
    <w:rsid w:val="007B3FA5"/>
    <w:rsid w:val="007B4F7E"/>
    <w:rsid w:val="007B7AAA"/>
    <w:rsid w:val="007B7E85"/>
    <w:rsid w:val="007C042B"/>
    <w:rsid w:val="007C0478"/>
    <w:rsid w:val="007C0B93"/>
    <w:rsid w:val="007C12C4"/>
    <w:rsid w:val="007C1F07"/>
    <w:rsid w:val="007C273F"/>
    <w:rsid w:val="007C304E"/>
    <w:rsid w:val="007C5B76"/>
    <w:rsid w:val="007C747B"/>
    <w:rsid w:val="007D0700"/>
    <w:rsid w:val="007D1A13"/>
    <w:rsid w:val="007D44F2"/>
    <w:rsid w:val="007D473C"/>
    <w:rsid w:val="007D47BE"/>
    <w:rsid w:val="007D5D54"/>
    <w:rsid w:val="007D6736"/>
    <w:rsid w:val="007D690F"/>
    <w:rsid w:val="007D6DDC"/>
    <w:rsid w:val="007D6EB1"/>
    <w:rsid w:val="007D72D6"/>
    <w:rsid w:val="007D7421"/>
    <w:rsid w:val="007E031B"/>
    <w:rsid w:val="007E0E5A"/>
    <w:rsid w:val="007E1B89"/>
    <w:rsid w:val="007E25CF"/>
    <w:rsid w:val="007E2D90"/>
    <w:rsid w:val="007E32AB"/>
    <w:rsid w:val="007E6C4D"/>
    <w:rsid w:val="007E70E8"/>
    <w:rsid w:val="007E78F0"/>
    <w:rsid w:val="007E7E3F"/>
    <w:rsid w:val="007F072F"/>
    <w:rsid w:val="007F0ED4"/>
    <w:rsid w:val="007F13BC"/>
    <w:rsid w:val="007F18B7"/>
    <w:rsid w:val="007F52FA"/>
    <w:rsid w:val="007F5925"/>
    <w:rsid w:val="00800ABE"/>
    <w:rsid w:val="00802935"/>
    <w:rsid w:val="008044F6"/>
    <w:rsid w:val="00805E17"/>
    <w:rsid w:val="00805EA1"/>
    <w:rsid w:val="00806977"/>
    <w:rsid w:val="00811A12"/>
    <w:rsid w:val="0081347F"/>
    <w:rsid w:val="008145C7"/>
    <w:rsid w:val="00814860"/>
    <w:rsid w:val="00820636"/>
    <w:rsid w:val="008206B9"/>
    <w:rsid w:val="00821809"/>
    <w:rsid w:val="00822854"/>
    <w:rsid w:val="008252A1"/>
    <w:rsid w:val="0082536D"/>
    <w:rsid w:val="00826519"/>
    <w:rsid w:val="00827528"/>
    <w:rsid w:val="00827C73"/>
    <w:rsid w:val="008303CE"/>
    <w:rsid w:val="00830F59"/>
    <w:rsid w:val="008310A4"/>
    <w:rsid w:val="0083391B"/>
    <w:rsid w:val="00837C39"/>
    <w:rsid w:val="0084028E"/>
    <w:rsid w:val="0084073D"/>
    <w:rsid w:val="008416C9"/>
    <w:rsid w:val="00842AEF"/>
    <w:rsid w:val="00845557"/>
    <w:rsid w:val="00846AB3"/>
    <w:rsid w:val="00850E28"/>
    <w:rsid w:val="00851037"/>
    <w:rsid w:val="0085148D"/>
    <w:rsid w:val="008525A5"/>
    <w:rsid w:val="0085608F"/>
    <w:rsid w:val="00857B26"/>
    <w:rsid w:val="00860D7C"/>
    <w:rsid w:val="00861602"/>
    <w:rsid w:val="008626A5"/>
    <w:rsid w:val="008630EA"/>
    <w:rsid w:val="008644A3"/>
    <w:rsid w:val="00864570"/>
    <w:rsid w:val="00864FAA"/>
    <w:rsid w:val="008650EA"/>
    <w:rsid w:val="008662D2"/>
    <w:rsid w:val="00867C21"/>
    <w:rsid w:val="00867F7A"/>
    <w:rsid w:val="00870E36"/>
    <w:rsid w:val="0087285E"/>
    <w:rsid w:val="00872EA8"/>
    <w:rsid w:val="0087594D"/>
    <w:rsid w:val="008760D6"/>
    <w:rsid w:val="00876DC9"/>
    <w:rsid w:val="00882CD2"/>
    <w:rsid w:val="00882D24"/>
    <w:rsid w:val="00885B08"/>
    <w:rsid w:val="008879DD"/>
    <w:rsid w:val="00887A05"/>
    <w:rsid w:val="00887C81"/>
    <w:rsid w:val="00891316"/>
    <w:rsid w:val="00892FBA"/>
    <w:rsid w:val="00895021"/>
    <w:rsid w:val="00895A69"/>
    <w:rsid w:val="0089702C"/>
    <w:rsid w:val="008978B4"/>
    <w:rsid w:val="00897907"/>
    <w:rsid w:val="008A00A4"/>
    <w:rsid w:val="008A0CFA"/>
    <w:rsid w:val="008A1885"/>
    <w:rsid w:val="008A18F8"/>
    <w:rsid w:val="008A1BE0"/>
    <w:rsid w:val="008A2016"/>
    <w:rsid w:val="008A2629"/>
    <w:rsid w:val="008A337A"/>
    <w:rsid w:val="008A411A"/>
    <w:rsid w:val="008A6825"/>
    <w:rsid w:val="008A6DED"/>
    <w:rsid w:val="008B25DC"/>
    <w:rsid w:val="008B6ACD"/>
    <w:rsid w:val="008B7964"/>
    <w:rsid w:val="008C03C7"/>
    <w:rsid w:val="008C28B4"/>
    <w:rsid w:val="008C374D"/>
    <w:rsid w:val="008C37E6"/>
    <w:rsid w:val="008C6E3A"/>
    <w:rsid w:val="008D0207"/>
    <w:rsid w:val="008D13DC"/>
    <w:rsid w:val="008D34A5"/>
    <w:rsid w:val="008D3C37"/>
    <w:rsid w:val="008D3FEA"/>
    <w:rsid w:val="008D5A56"/>
    <w:rsid w:val="008D60C8"/>
    <w:rsid w:val="008E01F5"/>
    <w:rsid w:val="008E3693"/>
    <w:rsid w:val="008E4196"/>
    <w:rsid w:val="008E4206"/>
    <w:rsid w:val="008E4C88"/>
    <w:rsid w:val="008E64ED"/>
    <w:rsid w:val="008F0939"/>
    <w:rsid w:val="008F0C40"/>
    <w:rsid w:val="008F0C50"/>
    <w:rsid w:val="008F191F"/>
    <w:rsid w:val="008F3DD8"/>
    <w:rsid w:val="008F4DAA"/>
    <w:rsid w:val="008F6775"/>
    <w:rsid w:val="008F6B3D"/>
    <w:rsid w:val="008F7B6E"/>
    <w:rsid w:val="009034EA"/>
    <w:rsid w:val="00903B65"/>
    <w:rsid w:val="00904120"/>
    <w:rsid w:val="00904653"/>
    <w:rsid w:val="0090617E"/>
    <w:rsid w:val="009105EE"/>
    <w:rsid w:val="00912137"/>
    <w:rsid w:val="009161D7"/>
    <w:rsid w:val="00916A9D"/>
    <w:rsid w:val="00920AC9"/>
    <w:rsid w:val="0092414D"/>
    <w:rsid w:val="0092429B"/>
    <w:rsid w:val="00925443"/>
    <w:rsid w:val="00925D32"/>
    <w:rsid w:val="00926B88"/>
    <w:rsid w:val="00930256"/>
    <w:rsid w:val="00931659"/>
    <w:rsid w:val="00931D6D"/>
    <w:rsid w:val="00933D39"/>
    <w:rsid w:val="00936E18"/>
    <w:rsid w:val="00936EE3"/>
    <w:rsid w:val="009372C7"/>
    <w:rsid w:val="00940328"/>
    <w:rsid w:val="009408CD"/>
    <w:rsid w:val="00941437"/>
    <w:rsid w:val="009423B8"/>
    <w:rsid w:val="009456F7"/>
    <w:rsid w:val="009469CA"/>
    <w:rsid w:val="0094738A"/>
    <w:rsid w:val="009517B2"/>
    <w:rsid w:val="00951B16"/>
    <w:rsid w:val="00951DE1"/>
    <w:rsid w:val="00952650"/>
    <w:rsid w:val="009534A5"/>
    <w:rsid w:val="00953EAD"/>
    <w:rsid w:val="009544F3"/>
    <w:rsid w:val="00961137"/>
    <w:rsid w:val="00961AC3"/>
    <w:rsid w:val="00961F3E"/>
    <w:rsid w:val="00964E70"/>
    <w:rsid w:val="00967333"/>
    <w:rsid w:val="00967980"/>
    <w:rsid w:val="0097066F"/>
    <w:rsid w:val="0097174A"/>
    <w:rsid w:val="0097195A"/>
    <w:rsid w:val="00971A17"/>
    <w:rsid w:val="009746B2"/>
    <w:rsid w:val="0097585B"/>
    <w:rsid w:val="00980870"/>
    <w:rsid w:val="00980BFB"/>
    <w:rsid w:val="009850C6"/>
    <w:rsid w:val="00985767"/>
    <w:rsid w:val="00985F01"/>
    <w:rsid w:val="00986446"/>
    <w:rsid w:val="00986FF9"/>
    <w:rsid w:val="00987736"/>
    <w:rsid w:val="009877CF"/>
    <w:rsid w:val="00987D65"/>
    <w:rsid w:val="00987DF5"/>
    <w:rsid w:val="0099096E"/>
    <w:rsid w:val="00990BB2"/>
    <w:rsid w:val="00994F3E"/>
    <w:rsid w:val="00994F9D"/>
    <w:rsid w:val="009A0A12"/>
    <w:rsid w:val="009A0FFE"/>
    <w:rsid w:val="009A360A"/>
    <w:rsid w:val="009A3E49"/>
    <w:rsid w:val="009A50A7"/>
    <w:rsid w:val="009A57E8"/>
    <w:rsid w:val="009A7CA4"/>
    <w:rsid w:val="009B0BF5"/>
    <w:rsid w:val="009B24B7"/>
    <w:rsid w:val="009B445F"/>
    <w:rsid w:val="009B4EEB"/>
    <w:rsid w:val="009B50BB"/>
    <w:rsid w:val="009B60F7"/>
    <w:rsid w:val="009C0543"/>
    <w:rsid w:val="009C05A5"/>
    <w:rsid w:val="009C0DFE"/>
    <w:rsid w:val="009C20C3"/>
    <w:rsid w:val="009C2546"/>
    <w:rsid w:val="009C3270"/>
    <w:rsid w:val="009C3A15"/>
    <w:rsid w:val="009C3E98"/>
    <w:rsid w:val="009C40FB"/>
    <w:rsid w:val="009C5C5D"/>
    <w:rsid w:val="009C5F94"/>
    <w:rsid w:val="009C6BBE"/>
    <w:rsid w:val="009C763C"/>
    <w:rsid w:val="009D0C3F"/>
    <w:rsid w:val="009D57CD"/>
    <w:rsid w:val="009D589B"/>
    <w:rsid w:val="009D723B"/>
    <w:rsid w:val="009E0282"/>
    <w:rsid w:val="009E0BDB"/>
    <w:rsid w:val="009E3890"/>
    <w:rsid w:val="009E3A06"/>
    <w:rsid w:val="009E615B"/>
    <w:rsid w:val="009E76B3"/>
    <w:rsid w:val="009E76D5"/>
    <w:rsid w:val="009E7E9B"/>
    <w:rsid w:val="009F14A3"/>
    <w:rsid w:val="009F546C"/>
    <w:rsid w:val="009F67BA"/>
    <w:rsid w:val="009F71BB"/>
    <w:rsid w:val="009F7E36"/>
    <w:rsid w:val="00A0237F"/>
    <w:rsid w:val="00A031F5"/>
    <w:rsid w:val="00A05E19"/>
    <w:rsid w:val="00A05F81"/>
    <w:rsid w:val="00A07747"/>
    <w:rsid w:val="00A104E5"/>
    <w:rsid w:val="00A10861"/>
    <w:rsid w:val="00A1139A"/>
    <w:rsid w:val="00A115A8"/>
    <w:rsid w:val="00A13335"/>
    <w:rsid w:val="00A134BC"/>
    <w:rsid w:val="00A14983"/>
    <w:rsid w:val="00A15071"/>
    <w:rsid w:val="00A15781"/>
    <w:rsid w:val="00A16961"/>
    <w:rsid w:val="00A17A3D"/>
    <w:rsid w:val="00A17C68"/>
    <w:rsid w:val="00A20A59"/>
    <w:rsid w:val="00A21EC2"/>
    <w:rsid w:val="00A231F4"/>
    <w:rsid w:val="00A24EBB"/>
    <w:rsid w:val="00A27239"/>
    <w:rsid w:val="00A275C4"/>
    <w:rsid w:val="00A301E7"/>
    <w:rsid w:val="00A30B5D"/>
    <w:rsid w:val="00A3289E"/>
    <w:rsid w:val="00A3453C"/>
    <w:rsid w:val="00A35244"/>
    <w:rsid w:val="00A352FF"/>
    <w:rsid w:val="00A36370"/>
    <w:rsid w:val="00A36962"/>
    <w:rsid w:val="00A40733"/>
    <w:rsid w:val="00A410C6"/>
    <w:rsid w:val="00A42133"/>
    <w:rsid w:val="00A43024"/>
    <w:rsid w:val="00A43261"/>
    <w:rsid w:val="00A43351"/>
    <w:rsid w:val="00A43497"/>
    <w:rsid w:val="00A4433A"/>
    <w:rsid w:val="00A462BF"/>
    <w:rsid w:val="00A504AF"/>
    <w:rsid w:val="00A52A19"/>
    <w:rsid w:val="00A54066"/>
    <w:rsid w:val="00A566B1"/>
    <w:rsid w:val="00A61289"/>
    <w:rsid w:val="00A61C5F"/>
    <w:rsid w:val="00A62A2B"/>
    <w:rsid w:val="00A6434B"/>
    <w:rsid w:val="00A66552"/>
    <w:rsid w:val="00A7036C"/>
    <w:rsid w:val="00A704C0"/>
    <w:rsid w:val="00A737AA"/>
    <w:rsid w:val="00A73D04"/>
    <w:rsid w:val="00A75F3E"/>
    <w:rsid w:val="00A81359"/>
    <w:rsid w:val="00A82722"/>
    <w:rsid w:val="00A828D3"/>
    <w:rsid w:val="00A84843"/>
    <w:rsid w:val="00A85AAD"/>
    <w:rsid w:val="00A90A3B"/>
    <w:rsid w:val="00A9101B"/>
    <w:rsid w:val="00A91A47"/>
    <w:rsid w:val="00A92229"/>
    <w:rsid w:val="00A93AEA"/>
    <w:rsid w:val="00A94A6D"/>
    <w:rsid w:val="00A96DBC"/>
    <w:rsid w:val="00A97835"/>
    <w:rsid w:val="00AA26A7"/>
    <w:rsid w:val="00AA74AD"/>
    <w:rsid w:val="00AA75CD"/>
    <w:rsid w:val="00AA7738"/>
    <w:rsid w:val="00AA797F"/>
    <w:rsid w:val="00AB14D0"/>
    <w:rsid w:val="00AB2C3F"/>
    <w:rsid w:val="00AB3A46"/>
    <w:rsid w:val="00AB4033"/>
    <w:rsid w:val="00AB43C1"/>
    <w:rsid w:val="00AB5AF1"/>
    <w:rsid w:val="00AB5BD2"/>
    <w:rsid w:val="00AB7757"/>
    <w:rsid w:val="00AC05CB"/>
    <w:rsid w:val="00AC1729"/>
    <w:rsid w:val="00AC1A67"/>
    <w:rsid w:val="00AC2858"/>
    <w:rsid w:val="00AC34A6"/>
    <w:rsid w:val="00AC38EE"/>
    <w:rsid w:val="00AC3BD9"/>
    <w:rsid w:val="00AC51AA"/>
    <w:rsid w:val="00AC5D9F"/>
    <w:rsid w:val="00AC5E6A"/>
    <w:rsid w:val="00AC5EF1"/>
    <w:rsid w:val="00AC6D08"/>
    <w:rsid w:val="00AC795B"/>
    <w:rsid w:val="00AD04D3"/>
    <w:rsid w:val="00AD0A84"/>
    <w:rsid w:val="00AD3279"/>
    <w:rsid w:val="00AD36DD"/>
    <w:rsid w:val="00AD5305"/>
    <w:rsid w:val="00AD77D6"/>
    <w:rsid w:val="00AE083A"/>
    <w:rsid w:val="00AE22F0"/>
    <w:rsid w:val="00AE26BB"/>
    <w:rsid w:val="00AE2825"/>
    <w:rsid w:val="00AE441F"/>
    <w:rsid w:val="00AE554A"/>
    <w:rsid w:val="00AE5AB4"/>
    <w:rsid w:val="00AE64AD"/>
    <w:rsid w:val="00AE667E"/>
    <w:rsid w:val="00AE6AC3"/>
    <w:rsid w:val="00AF0E45"/>
    <w:rsid w:val="00AF1987"/>
    <w:rsid w:val="00AF1C15"/>
    <w:rsid w:val="00AF2545"/>
    <w:rsid w:val="00AF2FBB"/>
    <w:rsid w:val="00AF3907"/>
    <w:rsid w:val="00AF3C74"/>
    <w:rsid w:val="00AF68A1"/>
    <w:rsid w:val="00AF6E57"/>
    <w:rsid w:val="00AF754E"/>
    <w:rsid w:val="00B01071"/>
    <w:rsid w:val="00B010C5"/>
    <w:rsid w:val="00B013D8"/>
    <w:rsid w:val="00B02519"/>
    <w:rsid w:val="00B070A9"/>
    <w:rsid w:val="00B10C35"/>
    <w:rsid w:val="00B10FCF"/>
    <w:rsid w:val="00B11834"/>
    <w:rsid w:val="00B1208B"/>
    <w:rsid w:val="00B12DE2"/>
    <w:rsid w:val="00B134C7"/>
    <w:rsid w:val="00B13A49"/>
    <w:rsid w:val="00B15639"/>
    <w:rsid w:val="00B1781F"/>
    <w:rsid w:val="00B1783F"/>
    <w:rsid w:val="00B17C1C"/>
    <w:rsid w:val="00B20A42"/>
    <w:rsid w:val="00B22F93"/>
    <w:rsid w:val="00B23CA9"/>
    <w:rsid w:val="00B24D08"/>
    <w:rsid w:val="00B25262"/>
    <w:rsid w:val="00B26869"/>
    <w:rsid w:val="00B2726E"/>
    <w:rsid w:val="00B27AAE"/>
    <w:rsid w:val="00B3140E"/>
    <w:rsid w:val="00B34424"/>
    <w:rsid w:val="00B34F41"/>
    <w:rsid w:val="00B35C17"/>
    <w:rsid w:val="00B35CB0"/>
    <w:rsid w:val="00B36AEE"/>
    <w:rsid w:val="00B37CAD"/>
    <w:rsid w:val="00B420CA"/>
    <w:rsid w:val="00B456B9"/>
    <w:rsid w:val="00B52751"/>
    <w:rsid w:val="00B52D3E"/>
    <w:rsid w:val="00B53047"/>
    <w:rsid w:val="00B5342E"/>
    <w:rsid w:val="00B555AA"/>
    <w:rsid w:val="00B55DB7"/>
    <w:rsid w:val="00B562DE"/>
    <w:rsid w:val="00B57EC7"/>
    <w:rsid w:val="00B610B4"/>
    <w:rsid w:val="00B611D5"/>
    <w:rsid w:val="00B657CF"/>
    <w:rsid w:val="00B66CE9"/>
    <w:rsid w:val="00B6784F"/>
    <w:rsid w:val="00B6795C"/>
    <w:rsid w:val="00B70A34"/>
    <w:rsid w:val="00B7159D"/>
    <w:rsid w:val="00B71925"/>
    <w:rsid w:val="00B72242"/>
    <w:rsid w:val="00B74359"/>
    <w:rsid w:val="00B75B2C"/>
    <w:rsid w:val="00B760C2"/>
    <w:rsid w:val="00B7748F"/>
    <w:rsid w:val="00B77EBF"/>
    <w:rsid w:val="00B77F78"/>
    <w:rsid w:val="00B8060E"/>
    <w:rsid w:val="00B80AFE"/>
    <w:rsid w:val="00B82A04"/>
    <w:rsid w:val="00B84472"/>
    <w:rsid w:val="00B855AB"/>
    <w:rsid w:val="00B85915"/>
    <w:rsid w:val="00B85D9A"/>
    <w:rsid w:val="00B87699"/>
    <w:rsid w:val="00B92768"/>
    <w:rsid w:val="00B93565"/>
    <w:rsid w:val="00B97FF8"/>
    <w:rsid w:val="00BA0CAD"/>
    <w:rsid w:val="00BA144C"/>
    <w:rsid w:val="00BA1CCE"/>
    <w:rsid w:val="00BA2A93"/>
    <w:rsid w:val="00BA60F1"/>
    <w:rsid w:val="00BA73E7"/>
    <w:rsid w:val="00BB00FF"/>
    <w:rsid w:val="00BB31DA"/>
    <w:rsid w:val="00BB5CC3"/>
    <w:rsid w:val="00BB64A9"/>
    <w:rsid w:val="00BB6E1C"/>
    <w:rsid w:val="00BB71BC"/>
    <w:rsid w:val="00BB7555"/>
    <w:rsid w:val="00BB7F48"/>
    <w:rsid w:val="00BC0D1C"/>
    <w:rsid w:val="00BC0FAF"/>
    <w:rsid w:val="00BC131B"/>
    <w:rsid w:val="00BC23EA"/>
    <w:rsid w:val="00BC27B8"/>
    <w:rsid w:val="00BC4453"/>
    <w:rsid w:val="00BC5357"/>
    <w:rsid w:val="00BC72AA"/>
    <w:rsid w:val="00BC7BDF"/>
    <w:rsid w:val="00BD05BD"/>
    <w:rsid w:val="00BD16B8"/>
    <w:rsid w:val="00BD29F8"/>
    <w:rsid w:val="00BD38FA"/>
    <w:rsid w:val="00BD4BF1"/>
    <w:rsid w:val="00BD55A8"/>
    <w:rsid w:val="00BD660D"/>
    <w:rsid w:val="00BD688B"/>
    <w:rsid w:val="00BD7CE5"/>
    <w:rsid w:val="00BE07E2"/>
    <w:rsid w:val="00BE0D60"/>
    <w:rsid w:val="00BE23BE"/>
    <w:rsid w:val="00BE2C22"/>
    <w:rsid w:val="00BE3622"/>
    <w:rsid w:val="00BE698D"/>
    <w:rsid w:val="00BF035C"/>
    <w:rsid w:val="00BF3395"/>
    <w:rsid w:val="00BF3D56"/>
    <w:rsid w:val="00BF4500"/>
    <w:rsid w:val="00BF5019"/>
    <w:rsid w:val="00BF5D2D"/>
    <w:rsid w:val="00BF6D26"/>
    <w:rsid w:val="00C00873"/>
    <w:rsid w:val="00C013A0"/>
    <w:rsid w:val="00C01EBE"/>
    <w:rsid w:val="00C020C4"/>
    <w:rsid w:val="00C03823"/>
    <w:rsid w:val="00C066AF"/>
    <w:rsid w:val="00C07375"/>
    <w:rsid w:val="00C073EC"/>
    <w:rsid w:val="00C10B36"/>
    <w:rsid w:val="00C111DC"/>
    <w:rsid w:val="00C13264"/>
    <w:rsid w:val="00C1438B"/>
    <w:rsid w:val="00C144DA"/>
    <w:rsid w:val="00C152C7"/>
    <w:rsid w:val="00C167D8"/>
    <w:rsid w:val="00C20B0E"/>
    <w:rsid w:val="00C24861"/>
    <w:rsid w:val="00C24AD3"/>
    <w:rsid w:val="00C32462"/>
    <w:rsid w:val="00C33364"/>
    <w:rsid w:val="00C33DDD"/>
    <w:rsid w:val="00C352E6"/>
    <w:rsid w:val="00C35AD6"/>
    <w:rsid w:val="00C40A64"/>
    <w:rsid w:val="00C427ED"/>
    <w:rsid w:val="00C42E59"/>
    <w:rsid w:val="00C461E2"/>
    <w:rsid w:val="00C4648E"/>
    <w:rsid w:val="00C51606"/>
    <w:rsid w:val="00C53AA5"/>
    <w:rsid w:val="00C55A6D"/>
    <w:rsid w:val="00C60602"/>
    <w:rsid w:val="00C6077F"/>
    <w:rsid w:val="00C60918"/>
    <w:rsid w:val="00C61C4D"/>
    <w:rsid w:val="00C623C3"/>
    <w:rsid w:val="00C63772"/>
    <w:rsid w:val="00C64D51"/>
    <w:rsid w:val="00C660DB"/>
    <w:rsid w:val="00C675D4"/>
    <w:rsid w:val="00C72AFE"/>
    <w:rsid w:val="00C73DC9"/>
    <w:rsid w:val="00C74AD9"/>
    <w:rsid w:val="00C75BFB"/>
    <w:rsid w:val="00C76AC2"/>
    <w:rsid w:val="00C772C3"/>
    <w:rsid w:val="00C811EB"/>
    <w:rsid w:val="00C845B4"/>
    <w:rsid w:val="00C9121F"/>
    <w:rsid w:val="00C91DBE"/>
    <w:rsid w:val="00C92A8A"/>
    <w:rsid w:val="00C9599A"/>
    <w:rsid w:val="00C95F26"/>
    <w:rsid w:val="00CA2EFD"/>
    <w:rsid w:val="00CA3DC1"/>
    <w:rsid w:val="00CA508E"/>
    <w:rsid w:val="00CA6A98"/>
    <w:rsid w:val="00CA752A"/>
    <w:rsid w:val="00CB01B0"/>
    <w:rsid w:val="00CB02C7"/>
    <w:rsid w:val="00CB06D2"/>
    <w:rsid w:val="00CB1181"/>
    <w:rsid w:val="00CB11D7"/>
    <w:rsid w:val="00CB2073"/>
    <w:rsid w:val="00CB2234"/>
    <w:rsid w:val="00CB2661"/>
    <w:rsid w:val="00CB2CF0"/>
    <w:rsid w:val="00CB352E"/>
    <w:rsid w:val="00CB4445"/>
    <w:rsid w:val="00CB5208"/>
    <w:rsid w:val="00CB5777"/>
    <w:rsid w:val="00CB5E59"/>
    <w:rsid w:val="00CC1A0B"/>
    <w:rsid w:val="00CC39F6"/>
    <w:rsid w:val="00CC4118"/>
    <w:rsid w:val="00CC5934"/>
    <w:rsid w:val="00CC6957"/>
    <w:rsid w:val="00CC6F5F"/>
    <w:rsid w:val="00CC72E6"/>
    <w:rsid w:val="00CC7660"/>
    <w:rsid w:val="00CC79AE"/>
    <w:rsid w:val="00CC7BE0"/>
    <w:rsid w:val="00CD1641"/>
    <w:rsid w:val="00CD22C7"/>
    <w:rsid w:val="00CD38C8"/>
    <w:rsid w:val="00CD5436"/>
    <w:rsid w:val="00CD5B18"/>
    <w:rsid w:val="00CD6D0C"/>
    <w:rsid w:val="00CD78BD"/>
    <w:rsid w:val="00CD7EBB"/>
    <w:rsid w:val="00CE0819"/>
    <w:rsid w:val="00CE0A16"/>
    <w:rsid w:val="00CE1955"/>
    <w:rsid w:val="00CE1E2E"/>
    <w:rsid w:val="00CE2F49"/>
    <w:rsid w:val="00CE2F94"/>
    <w:rsid w:val="00CE3306"/>
    <w:rsid w:val="00CE3ABA"/>
    <w:rsid w:val="00CE41AC"/>
    <w:rsid w:val="00CE6E99"/>
    <w:rsid w:val="00CE79E9"/>
    <w:rsid w:val="00CF0B3B"/>
    <w:rsid w:val="00CF3EBB"/>
    <w:rsid w:val="00CF682A"/>
    <w:rsid w:val="00CF691E"/>
    <w:rsid w:val="00CF6FC7"/>
    <w:rsid w:val="00D00EAB"/>
    <w:rsid w:val="00D01222"/>
    <w:rsid w:val="00D04F89"/>
    <w:rsid w:val="00D0532E"/>
    <w:rsid w:val="00D074A4"/>
    <w:rsid w:val="00D10539"/>
    <w:rsid w:val="00D12913"/>
    <w:rsid w:val="00D14B6A"/>
    <w:rsid w:val="00D1584B"/>
    <w:rsid w:val="00D16714"/>
    <w:rsid w:val="00D16B91"/>
    <w:rsid w:val="00D16BBC"/>
    <w:rsid w:val="00D16E98"/>
    <w:rsid w:val="00D16EE5"/>
    <w:rsid w:val="00D172E2"/>
    <w:rsid w:val="00D17340"/>
    <w:rsid w:val="00D175DE"/>
    <w:rsid w:val="00D179A6"/>
    <w:rsid w:val="00D17E53"/>
    <w:rsid w:val="00D23811"/>
    <w:rsid w:val="00D23887"/>
    <w:rsid w:val="00D24D79"/>
    <w:rsid w:val="00D25B87"/>
    <w:rsid w:val="00D303DC"/>
    <w:rsid w:val="00D30752"/>
    <w:rsid w:val="00D30862"/>
    <w:rsid w:val="00D30A1D"/>
    <w:rsid w:val="00D32244"/>
    <w:rsid w:val="00D32911"/>
    <w:rsid w:val="00D3355C"/>
    <w:rsid w:val="00D33821"/>
    <w:rsid w:val="00D33E43"/>
    <w:rsid w:val="00D34496"/>
    <w:rsid w:val="00D36A95"/>
    <w:rsid w:val="00D4040D"/>
    <w:rsid w:val="00D40C3D"/>
    <w:rsid w:val="00D40C40"/>
    <w:rsid w:val="00D42475"/>
    <w:rsid w:val="00D435EC"/>
    <w:rsid w:val="00D448D8"/>
    <w:rsid w:val="00D45019"/>
    <w:rsid w:val="00D452FB"/>
    <w:rsid w:val="00D47A3D"/>
    <w:rsid w:val="00D5043A"/>
    <w:rsid w:val="00D53057"/>
    <w:rsid w:val="00D5397C"/>
    <w:rsid w:val="00D53B96"/>
    <w:rsid w:val="00D60FF0"/>
    <w:rsid w:val="00D6191D"/>
    <w:rsid w:val="00D61FC6"/>
    <w:rsid w:val="00D6256C"/>
    <w:rsid w:val="00D64982"/>
    <w:rsid w:val="00D64DBE"/>
    <w:rsid w:val="00D65FFE"/>
    <w:rsid w:val="00D670D1"/>
    <w:rsid w:val="00D70CF9"/>
    <w:rsid w:val="00D70E58"/>
    <w:rsid w:val="00D73415"/>
    <w:rsid w:val="00D73A88"/>
    <w:rsid w:val="00D82615"/>
    <w:rsid w:val="00D84608"/>
    <w:rsid w:val="00D8694B"/>
    <w:rsid w:val="00D87A07"/>
    <w:rsid w:val="00D907DD"/>
    <w:rsid w:val="00D929C1"/>
    <w:rsid w:val="00D94176"/>
    <w:rsid w:val="00D956F3"/>
    <w:rsid w:val="00D979F7"/>
    <w:rsid w:val="00D97BA5"/>
    <w:rsid w:val="00D97BEC"/>
    <w:rsid w:val="00DA239E"/>
    <w:rsid w:val="00DA3E7C"/>
    <w:rsid w:val="00DA44CC"/>
    <w:rsid w:val="00DA7553"/>
    <w:rsid w:val="00DA759C"/>
    <w:rsid w:val="00DB0D51"/>
    <w:rsid w:val="00DB2216"/>
    <w:rsid w:val="00DB35B4"/>
    <w:rsid w:val="00DB42BE"/>
    <w:rsid w:val="00DB4C5E"/>
    <w:rsid w:val="00DB5F88"/>
    <w:rsid w:val="00DB698C"/>
    <w:rsid w:val="00DB72E7"/>
    <w:rsid w:val="00DC262C"/>
    <w:rsid w:val="00DC270D"/>
    <w:rsid w:val="00DC2F35"/>
    <w:rsid w:val="00DC4AB6"/>
    <w:rsid w:val="00DC6BFF"/>
    <w:rsid w:val="00DD0492"/>
    <w:rsid w:val="00DD12C4"/>
    <w:rsid w:val="00DD31E9"/>
    <w:rsid w:val="00DD32B1"/>
    <w:rsid w:val="00DD3471"/>
    <w:rsid w:val="00DD3F74"/>
    <w:rsid w:val="00DD687C"/>
    <w:rsid w:val="00DD7384"/>
    <w:rsid w:val="00DD7A70"/>
    <w:rsid w:val="00DE1010"/>
    <w:rsid w:val="00DE11F5"/>
    <w:rsid w:val="00DE1AEB"/>
    <w:rsid w:val="00DE2B82"/>
    <w:rsid w:val="00DE2C33"/>
    <w:rsid w:val="00DE3B6A"/>
    <w:rsid w:val="00DE3BF2"/>
    <w:rsid w:val="00DE3F0A"/>
    <w:rsid w:val="00DE3FC2"/>
    <w:rsid w:val="00DE4BE5"/>
    <w:rsid w:val="00DF0F98"/>
    <w:rsid w:val="00DF11F0"/>
    <w:rsid w:val="00DF135F"/>
    <w:rsid w:val="00DF242A"/>
    <w:rsid w:val="00DF2B50"/>
    <w:rsid w:val="00DF31A4"/>
    <w:rsid w:val="00DF3A9A"/>
    <w:rsid w:val="00DF400E"/>
    <w:rsid w:val="00DF6647"/>
    <w:rsid w:val="00DF7081"/>
    <w:rsid w:val="00DF7E68"/>
    <w:rsid w:val="00E00478"/>
    <w:rsid w:val="00E007B0"/>
    <w:rsid w:val="00E03EC3"/>
    <w:rsid w:val="00E057F6"/>
    <w:rsid w:val="00E05858"/>
    <w:rsid w:val="00E06862"/>
    <w:rsid w:val="00E12404"/>
    <w:rsid w:val="00E13139"/>
    <w:rsid w:val="00E131F6"/>
    <w:rsid w:val="00E13909"/>
    <w:rsid w:val="00E15411"/>
    <w:rsid w:val="00E17B6A"/>
    <w:rsid w:val="00E17CB1"/>
    <w:rsid w:val="00E22834"/>
    <w:rsid w:val="00E3036F"/>
    <w:rsid w:val="00E31EBE"/>
    <w:rsid w:val="00E3234F"/>
    <w:rsid w:val="00E331B7"/>
    <w:rsid w:val="00E339EB"/>
    <w:rsid w:val="00E33CA2"/>
    <w:rsid w:val="00E356DC"/>
    <w:rsid w:val="00E35D0B"/>
    <w:rsid w:val="00E42F59"/>
    <w:rsid w:val="00E43B56"/>
    <w:rsid w:val="00E443A3"/>
    <w:rsid w:val="00E46965"/>
    <w:rsid w:val="00E50302"/>
    <w:rsid w:val="00E5424C"/>
    <w:rsid w:val="00E5435A"/>
    <w:rsid w:val="00E55522"/>
    <w:rsid w:val="00E61081"/>
    <w:rsid w:val="00E62FF8"/>
    <w:rsid w:val="00E63230"/>
    <w:rsid w:val="00E63B59"/>
    <w:rsid w:val="00E64DF7"/>
    <w:rsid w:val="00E65DB8"/>
    <w:rsid w:val="00E66D22"/>
    <w:rsid w:val="00E67304"/>
    <w:rsid w:val="00E67524"/>
    <w:rsid w:val="00E70E9F"/>
    <w:rsid w:val="00E71C77"/>
    <w:rsid w:val="00E721C2"/>
    <w:rsid w:val="00E72A0A"/>
    <w:rsid w:val="00E72E43"/>
    <w:rsid w:val="00E7406A"/>
    <w:rsid w:val="00E77019"/>
    <w:rsid w:val="00E779B3"/>
    <w:rsid w:val="00E804DE"/>
    <w:rsid w:val="00E80664"/>
    <w:rsid w:val="00E82AFE"/>
    <w:rsid w:val="00E83033"/>
    <w:rsid w:val="00E84A3A"/>
    <w:rsid w:val="00E86486"/>
    <w:rsid w:val="00E87081"/>
    <w:rsid w:val="00E87EC4"/>
    <w:rsid w:val="00E92135"/>
    <w:rsid w:val="00E942D7"/>
    <w:rsid w:val="00E94BC8"/>
    <w:rsid w:val="00E95BAF"/>
    <w:rsid w:val="00E96CBA"/>
    <w:rsid w:val="00EA0448"/>
    <w:rsid w:val="00EA1420"/>
    <w:rsid w:val="00EA2353"/>
    <w:rsid w:val="00EA2B01"/>
    <w:rsid w:val="00EA5323"/>
    <w:rsid w:val="00EA5A86"/>
    <w:rsid w:val="00EA5DBB"/>
    <w:rsid w:val="00EA7620"/>
    <w:rsid w:val="00EA7C97"/>
    <w:rsid w:val="00EA7CD8"/>
    <w:rsid w:val="00EB0875"/>
    <w:rsid w:val="00EB118E"/>
    <w:rsid w:val="00EB283C"/>
    <w:rsid w:val="00EB54CD"/>
    <w:rsid w:val="00EB5B91"/>
    <w:rsid w:val="00EB63BD"/>
    <w:rsid w:val="00EB67C3"/>
    <w:rsid w:val="00EC1DE9"/>
    <w:rsid w:val="00EC25E7"/>
    <w:rsid w:val="00EC26DC"/>
    <w:rsid w:val="00EC604A"/>
    <w:rsid w:val="00EC6606"/>
    <w:rsid w:val="00EC6AB7"/>
    <w:rsid w:val="00ED09B9"/>
    <w:rsid w:val="00ED1659"/>
    <w:rsid w:val="00ED21D0"/>
    <w:rsid w:val="00ED2348"/>
    <w:rsid w:val="00ED3AC4"/>
    <w:rsid w:val="00ED513B"/>
    <w:rsid w:val="00ED5752"/>
    <w:rsid w:val="00ED59AE"/>
    <w:rsid w:val="00ED7E65"/>
    <w:rsid w:val="00EE1D26"/>
    <w:rsid w:val="00EE2521"/>
    <w:rsid w:val="00EE2D17"/>
    <w:rsid w:val="00EE4FE5"/>
    <w:rsid w:val="00EE5D43"/>
    <w:rsid w:val="00EE65A2"/>
    <w:rsid w:val="00EF1B9E"/>
    <w:rsid w:val="00EF3351"/>
    <w:rsid w:val="00EF43C0"/>
    <w:rsid w:val="00EF4F73"/>
    <w:rsid w:val="00EF53AE"/>
    <w:rsid w:val="00EF5D9C"/>
    <w:rsid w:val="00EF65C3"/>
    <w:rsid w:val="00EF6941"/>
    <w:rsid w:val="00EF74F8"/>
    <w:rsid w:val="00F0193E"/>
    <w:rsid w:val="00F0600F"/>
    <w:rsid w:val="00F068A4"/>
    <w:rsid w:val="00F07222"/>
    <w:rsid w:val="00F07A07"/>
    <w:rsid w:val="00F10487"/>
    <w:rsid w:val="00F109FF"/>
    <w:rsid w:val="00F10A2B"/>
    <w:rsid w:val="00F10B38"/>
    <w:rsid w:val="00F10CCD"/>
    <w:rsid w:val="00F13794"/>
    <w:rsid w:val="00F13E35"/>
    <w:rsid w:val="00F147CC"/>
    <w:rsid w:val="00F15007"/>
    <w:rsid w:val="00F16352"/>
    <w:rsid w:val="00F2027E"/>
    <w:rsid w:val="00F20FB3"/>
    <w:rsid w:val="00F22221"/>
    <w:rsid w:val="00F22C06"/>
    <w:rsid w:val="00F24B29"/>
    <w:rsid w:val="00F26349"/>
    <w:rsid w:val="00F306A9"/>
    <w:rsid w:val="00F30B63"/>
    <w:rsid w:val="00F32A42"/>
    <w:rsid w:val="00F34FCA"/>
    <w:rsid w:val="00F35214"/>
    <w:rsid w:val="00F40A81"/>
    <w:rsid w:val="00F42BAF"/>
    <w:rsid w:val="00F433AE"/>
    <w:rsid w:val="00F43F75"/>
    <w:rsid w:val="00F5183E"/>
    <w:rsid w:val="00F528EF"/>
    <w:rsid w:val="00F53913"/>
    <w:rsid w:val="00F54281"/>
    <w:rsid w:val="00F54DD6"/>
    <w:rsid w:val="00F573FD"/>
    <w:rsid w:val="00F5761B"/>
    <w:rsid w:val="00F57F02"/>
    <w:rsid w:val="00F62D35"/>
    <w:rsid w:val="00F631BE"/>
    <w:rsid w:val="00F652EE"/>
    <w:rsid w:val="00F6610A"/>
    <w:rsid w:val="00F669C1"/>
    <w:rsid w:val="00F669EE"/>
    <w:rsid w:val="00F671DB"/>
    <w:rsid w:val="00F67C47"/>
    <w:rsid w:val="00F70899"/>
    <w:rsid w:val="00F71597"/>
    <w:rsid w:val="00F71AD7"/>
    <w:rsid w:val="00F72140"/>
    <w:rsid w:val="00F748B0"/>
    <w:rsid w:val="00F75BA0"/>
    <w:rsid w:val="00F8018A"/>
    <w:rsid w:val="00F8020C"/>
    <w:rsid w:val="00F8155B"/>
    <w:rsid w:val="00F828A6"/>
    <w:rsid w:val="00F83826"/>
    <w:rsid w:val="00F867A2"/>
    <w:rsid w:val="00F87318"/>
    <w:rsid w:val="00F907D1"/>
    <w:rsid w:val="00F91365"/>
    <w:rsid w:val="00F921CD"/>
    <w:rsid w:val="00F93545"/>
    <w:rsid w:val="00FA147E"/>
    <w:rsid w:val="00FA2B9D"/>
    <w:rsid w:val="00FA67F7"/>
    <w:rsid w:val="00FB0C6E"/>
    <w:rsid w:val="00FB207B"/>
    <w:rsid w:val="00FB217B"/>
    <w:rsid w:val="00FB3227"/>
    <w:rsid w:val="00FB3D39"/>
    <w:rsid w:val="00FB79BD"/>
    <w:rsid w:val="00FC6B4E"/>
    <w:rsid w:val="00FC6BE1"/>
    <w:rsid w:val="00FD0C61"/>
    <w:rsid w:val="00FD518E"/>
    <w:rsid w:val="00FD56A6"/>
    <w:rsid w:val="00FE1563"/>
    <w:rsid w:val="00FE2056"/>
    <w:rsid w:val="00FE2F24"/>
    <w:rsid w:val="00FE398D"/>
    <w:rsid w:val="00FE4A76"/>
    <w:rsid w:val="00FF0836"/>
    <w:rsid w:val="00FF13B8"/>
    <w:rsid w:val="00FF397A"/>
    <w:rsid w:val="00FF4E8E"/>
    <w:rsid w:val="00FF7ED7"/>
    <w:rsid w:val="00FF7F91"/>
    <w:rsid w:val="1104081B"/>
    <w:rsid w:val="1DC35127"/>
    <w:rsid w:val="5709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66303"/>
  <w15:docId w15:val="{17DCFFA2-ADE0-1946-AD92-AB132037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A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line="276" w:lineRule="auto"/>
      <w:outlineLvl w:val="2"/>
    </w:pPr>
    <w:rPr>
      <w:rFonts w:asciiTheme="majorHAnsi" w:eastAsiaTheme="majorEastAsia" w:hAnsiTheme="majorHAnsi" w:cstheme="majorBidi"/>
      <w:color w:val="1F4E79" w:themeColor="accent1" w:themeShade="80"/>
    </w:rPr>
  </w:style>
  <w:style w:type="paragraph" w:styleId="Heading5">
    <w:name w:val="heading 5"/>
    <w:basedOn w:val="Normal"/>
    <w:next w:val="Normal"/>
    <w:link w:val="Heading5Char"/>
    <w:unhideWhenUsed/>
    <w:qFormat/>
    <w:pPr>
      <w:spacing w:before="240" w:after="60"/>
      <w:outlineLvl w:val="4"/>
    </w:pPr>
    <w:rPr>
      <w:rFonts w:ascii="Calibri" w:hAnsi="Calibri"/>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BodyText">
    <w:name w:val="Body Text"/>
    <w:basedOn w:val="Normal"/>
    <w:link w:val="BodyTextChar"/>
    <w:uiPriority w:val="99"/>
    <w:unhideWhenUsed/>
    <w:qFormat/>
    <w:pPr>
      <w:widowControl w:val="0"/>
      <w:spacing w:after="120" w:line="276" w:lineRule="auto"/>
    </w:pPr>
    <w:rPr>
      <w:rFonts w:ascii="Calibri" w:eastAsia="Calibri" w:hAnsi="Calibri" w:cs="Arial"/>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DocumentMap">
    <w:name w:val="Document Map"/>
    <w:basedOn w:val="Normal"/>
    <w:link w:val="DocumentMapChar"/>
    <w:semiHidden/>
    <w:unhideWhenUsed/>
    <w:qFormat/>
  </w:style>
  <w:style w:type="paragraph" w:styleId="EndnoteText">
    <w:name w:val="endnote text"/>
    <w:basedOn w:val="Normal"/>
    <w:link w:val="EndnoteTextChar"/>
    <w:qFormat/>
    <w:rPr>
      <w:sz w:val="20"/>
      <w:szCs w:val="20"/>
      <w:lang w:eastAsia="sl-SI"/>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link w:val="FootnoteTextChar"/>
    <w:uiPriority w:val="99"/>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Title">
    <w:name w:val="Title"/>
    <w:basedOn w:val="Normal"/>
    <w:link w:val="TitleChar"/>
    <w:uiPriority w:val="10"/>
    <w:qFormat/>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paragraph" w:styleId="TOC1">
    <w:name w:val="toc 1"/>
    <w:basedOn w:val="Normal"/>
    <w:next w:val="Normal"/>
    <w:uiPriority w:val="39"/>
    <w:unhideWhenUsed/>
    <w:pPr>
      <w:spacing w:before="120"/>
    </w:pPr>
    <w:rPr>
      <w:rFonts w:asciiTheme="minorHAnsi" w:hAnsiTheme="minorHAnsi"/>
      <w:b/>
      <w:bCs/>
      <w:i/>
      <w:iCs/>
    </w:rPr>
  </w:style>
  <w:style w:type="paragraph" w:styleId="TOC2">
    <w:name w:val="toc 2"/>
    <w:basedOn w:val="Normal"/>
    <w:next w:val="Normal"/>
    <w:uiPriority w:val="39"/>
    <w:unhideWhenUsed/>
    <w:qFormat/>
    <w:pPr>
      <w:spacing w:before="120"/>
      <w:ind w:left="240"/>
    </w:pPr>
    <w:rPr>
      <w:rFonts w:asciiTheme="minorHAnsi" w:hAnsiTheme="minorHAnsi"/>
      <w:b/>
      <w:bCs/>
      <w:sz w:val="22"/>
      <w:szCs w:val="22"/>
    </w:rPr>
  </w:style>
  <w:style w:type="paragraph" w:styleId="TOC3">
    <w:name w:val="toc 3"/>
    <w:basedOn w:val="Normal"/>
    <w:next w:val="Normal"/>
    <w:uiPriority w:val="39"/>
    <w:unhideWhenUsed/>
    <w:qFormat/>
    <w:pPr>
      <w:ind w:left="480"/>
    </w:pPr>
    <w:rPr>
      <w:rFonts w:asciiTheme="minorHAnsi" w:hAnsiTheme="minorHAnsi"/>
      <w:sz w:val="20"/>
      <w:szCs w:val="20"/>
    </w:rPr>
  </w:style>
  <w:style w:type="paragraph" w:styleId="TOC4">
    <w:name w:val="toc 4"/>
    <w:basedOn w:val="Normal"/>
    <w:next w:val="Normal"/>
    <w:uiPriority w:val="39"/>
    <w:semiHidden/>
    <w:unhideWhenUsed/>
    <w:qFormat/>
    <w:pPr>
      <w:ind w:left="720"/>
    </w:pPr>
    <w:rPr>
      <w:rFonts w:asciiTheme="minorHAnsi" w:hAnsiTheme="minorHAnsi"/>
      <w:sz w:val="20"/>
      <w:szCs w:val="20"/>
    </w:rPr>
  </w:style>
  <w:style w:type="paragraph" w:styleId="TOC5">
    <w:name w:val="toc 5"/>
    <w:basedOn w:val="Normal"/>
    <w:next w:val="Normal"/>
    <w:uiPriority w:val="39"/>
    <w:semiHidden/>
    <w:unhideWhenUsed/>
    <w:pPr>
      <w:ind w:left="960"/>
    </w:pPr>
    <w:rPr>
      <w:rFonts w:asciiTheme="minorHAnsi" w:hAnsiTheme="minorHAnsi"/>
      <w:sz w:val="20"/>
      <w:szCs w:val="20"/>
    </w:rPr>
  </w:style>
  <w:style w:type="paragraph" w:styleId="TOC6">
    <w:name w:val="toc 6"/>
    <w:basedOn w:val="Normal"/>
    <w:next w:val="Normal"/>
    <w:uiPriority w:val="39"/>
    <w:semiHidden/>
    <w:unhideWhenUsed/>
    <w:pPr>
      <w:ind w:left="1200"/>
    </w:pPr>
    <w:rPr>
      <w:rFonts w:asciiTheme="minorHAnsi" w:hAnsiTheme="minorHAnsi"/>
      <w:sz w:val="20"/>
      <w:szCs w:val="20"/>
    </w:rPr>
  </w:style>
  <w:style w:type="paragraph" w:styleId="TOC7">
    <w:name w:val="toc 7"/>
    <w:basedOn w:val="Normal"/>
    <w:next w:val="Normal"/>
    <w:uiPriority w:val="39"/>
    <w:semiHidden/>
    <w:unhideWhenUsed/>
    <w:qFormat/>
    <w:pPr>
      <w:ind w:left="1440"/>
    </w:pPr>
    <w:rPr>
      <w:rFonts w:asciiTheme="minorHAnsi" w:hAnsiTheme="minorHAnsi"/>
      <w:sz w:val="20"/>
      <w:szCs w:val="20"/>
    </w:rPr>
  </w:style>
  <w:style w:type="paragraph" w:styleId="TOC8">
    <w:name w:val="toc 8"/>
    <w:basedOn w:val="Normal"/>
    <w:next w:val="Normal"/>
    <w:uiPriority w:val="39"/>
    <w:semiHidden/>
    <w:unhideWhenUsed/>
    <w:pPr>
      <w:ind w:left="1680"/>
    </w:pPr>
    <w:rPr>
      <w:rFonts w:asciiTheme="minorHAnsi" w:hAnsiTheme="minorHAnsi"/>
      <w:sz w:val="20"/>
      <w:szCs w:val="20"/>
    </w:rPr>
  </w:style>
  <w:style w:type="paragraph" w:styleId="TOC9">
    <w:name w:val="toc 9"/>
    <w:basedOn w:val="Normal"/>
    <w:next w:val="Normal"/>
    <w:uiPriority w:val="39"/>
    <w:semiHidden/>
    <w:unhideWhenUsed/>
    <w:pPr>
      <w:ind w:left="1920"/>
    </w:pPr>
    <w:rPr>
      <w:rFonts w:asciiTheme="minorHAnsi" w:hAnsiTheme="minorHAnsi"/>
      <w:sz w:val="20"/>
      <w:szCs w:val="20"/>
    </w:rPr>
  </w:style>
  <w:style w:type="character" w:styleId="CommentReference">
    <w:name w:val="annotation reference"/>
    <w:basedOn w:val="DefaultParagraphFont"/>
    <w:uiPriority w:val="99"/>
    <w:unhideWhenUsed/>
    <w:qFormat/>
    <w:rPr>
      <w:sz w:val="18"/>
      <w:szCs w:val="18"/>
    </w:rPr>
  </w:style>
  <w:style w:type="character" w:styleId="Emphasis">
    <w:name w:val="Emphasis"/>
    <w:uiPriority w:val="20"/>
    <w:qFormat/>
    <w:rPr>
      <w:i/>
      <w:iCs/>
    </w:r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FootnoteReference">
    <w:name w:val="footnote reference"/>
    <w:basedOn w:val="DefaultParagraphFont"/>
    <w:uiPriority w:val="99"/>
    <w:unhideWhenUsed/>
    <w:qFormat/>
    <w:rPr>
      <w:vertAlign w:val="superscript"/>
    </w:rPr>
  </w:style>
  <w:style w:type="character" w:styleId="HTMLCite">
    <w:name w:val="HTML Cite"/>
    <w:uiPriority w:val="99"/>
    <w:unhideWhenUsed/>
    <w:qFormat/>
    <w:rPr>
      <w:i/>
      <w:iCs/>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nhideWhenUsed/>
    <w:qFormat/>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CommentTextChar">
    <w:name w:val="Comment Text Char"/>
    <w:basedOn w:val="DefaultParagraphFont"/>
    <w:link w:val="CommentText"/>
    <w:uiPriority w:val="99"/>
    <w:qFormat/>
    <w:rPr>
      <w:sz w:val="24"/>
      <w:szCs w:val="24"/>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qFormat/>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 w:val="24"/>
      <w:szCs w:val="24"/>
    </w:rPr>
  </w:style>
  <w:style w:type="character" w:customStyle="1" w:styleId="FootnoteTextChar">
    <w:name w:val="Footnote Text Char"/>
    <w:basedOn w:val="DefaultParagraphFont"/>
    <w:link w:val="FootnoteText"/>
    <w:uiPriority w:val="99"/>
    <w:qFormat/>
    <w:rPr>
      <w:sz w:val="20"/>
      <w:szCs w:val="20"/>
    </w:rPr>
  </w:style>
  <w:style w:type="character" w:customStyle="1" w:styleId="matrix-row-label3">
    <w:name w:val="matrix-row-label3"/>
    <w:basedOn w:val="DefaultParagraphFont"/>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val="hr-HR"/>
    </w:rPr>
  </w:style>
  <w:style w:type="paragraph" w:customStyle="1" w:styleId="Revision1">
    <w:name w:val="Revision1"/>
    <w:hidden/>
    <w:uiPriority w:val="99"/>
    <w:semiHidden/>
    <w:qFormat/>
    <w:pPr>
      <w:spacing w:after="0" w:line="240" w:lineRule="auto"/>
    </w:pPr>
    <w:rPr>
      <w:sz w:val="22"/>
      <w:szCs w:val="22"/>
    </w:rPr>
  </w:style>
  <w:style w:type="character" w:customStyle="1" w:styleId="Heading5Char">
    <w:name w:val="Heading 5 Char"/>
    <w:basedOn w:val="DefaultParagraphFont"/>
    <w:link w:val="Heading5"/>
    <w:qFormat/>
    <w:rPr>
      <w:rFonts w:ascii="Calibri" w:eastAsia="Times New Roman" w:hAnsi="Calibri" w:cs="Times New Roman"/>
      <w:b/>
      <w:bCs/>
      <w:i/>
      <w:iCs/>
      <w:sz w:val="26"/>
      <w:szCs w:val="26"/>
      <w:lang w:eastAsia="sl-SI"/>
    </w:rPr>
  </w:style>
  <w:style w:type="character" w:customStyle="1" w:styleId="schriftnorm">
    <w:name w:val="schriftnorm"/>
    <w:basedOn w:val="DefaultParagraphFont"/>
    <w:qFormat/>
  </w:style>
  <w:style w:type="paragraph" w:customStyle="1" w:styleId="bodytext0">
    <w:name w:val="bodytext"/>
    <w:basedOn w:val="Normal"/>
    <w:qFormat/>
    <w:pPr>
      <w:spacing w:before="100" w:beforeAutospacing="1" w:after="100" w:afterAutospacing="1"/>
    </w:pPr>
    <w:rPr>
      <w:lang w:eastAsia="sl-SI"/>
    </w:rPr>
  </w:style>
  <w:style w:type="paragraph" w:customStyle="1" w:styleId="ecxmsonormal">
    <w:name w:val="ecxmsonormal"/>
    <w:basedOn w:val="Normal"/>
    <w:qFormat/>
    <w:pPr>
      <w:spacing w:after="324"/>
    </w:pPr>
    <w:rPr>
      <w:lang w:val="en-GB" w:eastAsia="en-GB"/>
    </w:rPr>
  </w:style>
  <w:style w:type="character" w:customStyle="1" w:styleId="apple-converted-space">
    <w:name w:val="apple-converted-space"/>
    <w:qFormat/>
  </w:style>
  <w:style w:type="character" w:customStyle="1" w:styleId="st">
    <w:name w:val="st"/>
    <w:qFormat/>
  </w:style>
  <w:style w:type="character" w:customStyle="1" w:styleId="linkcolor">
    <w:name w:val="linkcolor"/>
    <w:qFormat/>
  </w:style>
  <w:style w:type="character" w:customStyle="1" w:styleId="bookabs">
    <w:name w:val="bookabs"/>
    <w:qFormat/>
  </w:style>
  <w:style w:type="character" w:customStyle="1" w:styleId="moreabs">
    <w:name w:val="moreabs"/>
    <w:qFormat/>
  </w:style>
  <w:style w:type="character" w:customStyle="1" w:styleId="hlfld-title">
    <w:name w:val="hlfld-title"/>
    <w:qFormat/>
  </w:style>
  <w:style w:type="character" w:customStyle="1" w:styleId="singlehighlightclass">
    <w:name w:val="single_highlight_class"/>
    <w:qFormat/>
  </w:style>
  <w:style w:type="character" w:customStyle="1" w:styleId="articleentryauthorlabel">
    <w:name w:val="articleentryauthorlabel"/>
    <w:qFormat/>
  </w:style>
  <w:style w:type="character" w:customStyle="1" w:styleId="articleentryauthorslinks">
    <w:name w:val="articleentryauthorslinks"/>
    <w:qFormat/>
  </w:style>
  <w:style w:type="character" w:customStyle="1" w:styleId="hlfld-contrib">
    <w:name w:val="hlfld-contrib"/>
    <w:qFormat/>
  </w:style>
  <w:style w:type="character" w:customStyle="1" w:styleId="boldfont">
    <w:name w:val="boldfont"/>
    <w:qFormat/>
  </w:style>
  <w:style w:type="character" w:customStyle="1" w:styleId="articleentrypagerangelabel">
    <w:name w:val="articleentrypagerangelabel"/>
    <w:qFormat/>
  </w:style>
  <w:style w:type="character" w:customStyle="1" w:styleId="EndnoteTextChar">
    <w:name w:val="Endnote Text Char"/>
    <w:basedOn w:val="DefaultParagraphFont"/>
    <w:link w:val="EndnoteText"/>
    <w:qFormat/>
    <w:rPr>
      <w:rFonts w:ascii="Times New Roman" w:eastAsia="Times New Roman" w:hAnsi="Times New Roman" w:cs="Times New Roman"/>
      <w:sz w:val="20"/>
      <w:szCs w:val="20"/>
      <w:lang w:eastAsia="sl-SI"/>
    </w:rPr>
  </w:style>
  <w:style w:type="character" w:customStyle="1" w:styleId="tgc">
    <w:name w:val="_tgc"/>
    <w:qFormat/>
  </w:style>
  <w:style w:type="character" w:customStyle="1" w:styleId="TitleChar">
    <w:name w:val="Title Char"/>
    <w:basedOn w:val="DefaultParagraphFont"/>
    <w:link w:val="Title"/>
    <w:uiPriority w:val="10"/>
    <w:qFormat/>
    <w:rPr>
      <w:rFonts w:ascii="Arial" w:eastAsia="Times New Roman" w:hAnsi="Arial" w:cs="Arial"/>
      <w:b/>
      <w:bCs/>
      <w:kern w:val="28"/>
      <w:sz w:val="32"/>
      <w:szCs w:val="32"/>
      <w:lang w:val="en-GB" w:eastAsia="zh-CN"/>
    </w:rPr>
  </w:style>
  <w:style w:type="character" w:customStyle="1" w:styleId="BodyTextChar">
    <w:name w:val="Body Text Char"/>
    <w:basedOn w:val="DefaultParagraphFont"/>
    <w:link w:val="BodyText"/>
    <w:uiPriority w:val="99"/>
    <w:qFormat/>
    <w:rPr>
      <w:rFonts w:ascii="Calibri" w:eastAsia="Calibri" w:hAnsi="Calibri" w:cs="Arial"/>
    </w:rPr>
  </w:style>
  <w:style w:type="character" w:styleId="PlaceholderText">
    <w:name w:val="Placeholder Text"/>
    <w:uiPriority w:val="99"/>
    <w:semiHidden/>
    <w:qFormat/>
    <w:rPr>
      <w:color w:val="808080"/>
    </w:rPr>
  </w:style>
  <w:style w:type="paragraph" w:customStyle="1" w:styleId="Table">
    <w:name w:val="Table"/>
    <w:basedOn w:val="Normal"/>
    <w:next w:val="BodyText"/>
    <w:qFormat/>
    <w:pPr>
      <w:tabs>
        <w:tab w:val="left" w:pos="850"/>
        <w:tab w:val="left" w:pos="1191"/>
        <w:tab w:val="left" w:pos="1531"/>
      </w:tabs>
      <w:spacing w:after="240"/>
      <w:jc w:val="center"/>
    </w:pPr>
    <w:rPr>
      <w:lang w:val="en-GB" w:eastAsia="zh-CN"/>
    </w:rPr>
  </w:style>
  <w:style w:type="paragraph" w:customStyle="1" w:styleId="TableTitle">
    <w:name w:val="Table Title"/>
    <w:basedOn w:val="Normal"/>
    <w:qFormat/>
    <w:pPr>
      <w:keepNext/>
      <w:tabs>
        <w:tab w:val="left" w:pos="850"/>
        <w:tab w:val="left" w:pos="1191"/>
        <w:tab w:val="left" w:pos="1531"/>
      </w:tabs>
      <w:spacing w:after="240"/>
      <w:jc w:val="center"/>
    </w:pPr>
    <w:rPr>
      <w:rFonts w:ascii="Arial" w:hAnsi="Arial" w:cs="Arial"/>
      <w:b/>
      <w:bCs/>
      <w:sz w:val="18"/>
      <w:lang w:val="en-GB" w:eastAsia="zh-CN"/>
    </w:rPr>
  </w:style>
  <w:style w:type="paragraph" w:customStyle="1" w:styleId="TableSub-title">
    <w:name w:val="Table Sub-title"/>
    <w:basedOn w:val="Normal"/>
    <w:qFormat/>
    <w:pPr>
      <w:keepNext/>
      <w:tabs>
        <w:tab w:val="left" w:pos="850"/>
        <w:tab w:val="left" w:pos="1191"/>
        <w:tab w:val="left" w:pos="1531"/>
      </w:tabs>
      <w:spacing w:after="240"/>
      <w:jc w:val="center"/>
    </w:pPr>
    <w:rPr>
      <w:rFonts w:ascii="Arial" w:hAnsi="Arial" w:cs="Arial"/>
      <w:sz w:val="18"/>
      <w:lang w:val="en-GB" w:eastAsia="zh-CN"/>
    </w:rPr>
  </w:style>
  <w:style w:type="paragraph" w:customStyle="1" w:styleId="TableNote">
    <w:name w:val="Table Note"/>
    <w:basedOn w:val="Normal"/>
    <w:qFormat/>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
    <w:qFormat/>
    <w:pPr>
      <w:tabs>
        <w:tab w:val="left" w:pos="850"/>
        <w:tab w:val="left" w:pos="1191"/>
        <w:tab w:val="left" w:pos="1531"/>
      </w:tabs>
      <w:spacing w:after="360"/>
      <w:jc w:val="both"/>
    </w:pPr>
    <w:rPr>
      <w:rFonts w:ascii="Arial" w:hAnsi="Arial" w:cs="Arial"/>
      <w:sz w:val="16"/>
      <w:szCs w:val="18"/>
      <w:lang w:val="en-GB" w:eastAsia="zh-CN"/>
    </w:rPr>
  </w:style>
  <w:style w:type="character" w:customStyle="1" w:styleId="ListParagraphChar">
    <w:name w:val="List Paragraph Char"/>
    <w:link w:val="ListParagraph"/>
    <w:uiPriority w:val="34"/>
    <w:qFormat/>
  </w:style>
  <w:style w:type="paragraph" w:styleId="NoSpacing">
    <w:name w:val="No Spacing"/>
    <w:uiPriority w:val="1"/>
    <w:qFormat/>
    <w:pPr>
      <w:spacing w:after="0" w:line="240" w:lineRule="auto"/>
    </w:pPr>
    <w:rPr>
      <w:sz w:val="22"/>
      <w:szCs w:val="22"/>
    </w:rPr>
  </w:style>
  <w:style w:type="paragraph" w:customStyle="1" w:styleId="p1">
    <w:name w:val="p1"/>
    <w:basedOn w:val="Normal"/>
    <w:qFormat/>
    <w:rPr>
      <w:rFonts w:ascii="Courier New" w:hAnsi="Courier New" w:cs="Courier New"/>
      <w:color w:val="000080"/>
      <w:sz w:val="20"/>
      <w:szCs w:val="20"/>
    </w:rPr>
  </w:style>
  <w:style w:type="paragraph" w:customStyle="1" w:styleId="p2">
    <w:name w:val="p2"/>
    <w:basedOn w:val="Normal"/>
    <w:qFormat/>
    <w:rPr>
      <w:rFonts w:ascii="Courier New" w:hAnsi="Courier New" w:cs="Courier New"/>
      <w:color w:val="1F497D"/>
      <w:sz w:val="16"/>
      <w:szCs w:val="16"/>
    </w:rPr>
  </w:style>
  <w:style w:type="character" w:customStyle="1" w:styleId="s1">
    <w:name w:val="s1"/>
    <w:basedOn w:val="DefaultParagraphFont"/>
  </w:style>
  <w:style w:type="paragraph" w:customStyle="1" w:styleId="xmsonormal">
    <w:name w:val="x_msonormal"/>
    <w:basedOn w:val="Normal"/>
    <w:pPr>
      <w:spacing w:before="100" w:beforeAutospacing="1" w:after="100" w:afterAutospacing="1"/>
    </w:pPr>
  </w:style>
  <w:style w:type="paragraph" w:customStyle="1" w:styleId="xaddress">
    <w:name w:val="x_address"/>
    <w:basedOn w:val="Normal"/>
    <w:pPr>
      <w:spacing w:before="100" w:beforeAutospacing="1" w:after="100" w:afterAutospacing="1"/>
    </w:pPr>
  </w:style>
  <w:style w:type="character" w:customStyle="1" w:styleId="DocumentMapChar">
    <w:name w:val="Document Map Char"/>
    <w:basedOn w:val="DefaultParagraphFont"/>
    <w:link w:val="DocumentMap"/>
    <w:semiHidden/>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pPr>
      <w:spacing w:before="480"/>
      <w:outlineLvl w:val="9"/>
    </w:pPr>
    <w:rPr>
      <w:b/>
      <w:bCs/>
      <w:sz w:val="28"/>
      <w:szCs w:val="28"/>
    </w:rPr>
  </w:style>
  <w:style w:type="character" w:customStyle="1" w:styleId="il">
    <w:name w:val="il"/>
    <w:basedOn w:val="DefaultParagraphFont"/>
  </w:style>
  <w:style w:type="character" w:customStyle="1" w:styleId="normaltextrun">
    <w:name w:val="normaltextrun"/>
    <w:basedOn w:val="DefaultParagraphFont"/>
  </w:style>
  <w:style w:type="character" w:customStyle="1" w:styleId="spellingerror">
    <w:name w:val="spellingerror"/>
    <w:basedOn w:val="DefaultParagraphFont"/>
  </w:style>
  <w:style w:type="character" w:customStyle="1" w:styleId="eop">
    <w:name w:val="eop"/>
    <w:basedOn w:val="DefaultParagraphFont"/>
  </w:style>
  <w:style w:type="character" w:customStyle="1" w:styleId="LightGrid-Accent3Char">
    <w:name w:val="Light Grid - Accent 3 Char"/>
    <w:aliases w:val="List_Paragraph Char,Multilevel para_II Char,List Paragraph1 Char"/>
    <w:link w:val="LightGrid-Accent3"/>
    <w:uiPriority w:val="34"/>
    <w:rsid w:val="004469CB"/>
    <w:rPr>
      <w:sz w:val="22"/>
      <w:szCs w:val="22"/>
    </w:rPr>
  </w:style>
  <w:style w:type="table" w:styleId="LightGrid-Accent3">
    <w:name w:val="Light Grid Accent 3"/>
    <w:basedOn w:val="TableNormal"/>
    <w:link w:val="LightGrid-Accent3Char"/>
    <w:uiPriority w:val="34"/>
    <w:rsid w:val="004469CB"/>
    <w:pPr>
      <w:spacing w:after="0" w:line="240" w:lineRule="auto"/>
    </w:pPr>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italic">
    <w:name w:val="italic"/>
    <w:basedOn w:val="DefaultParagraphFont"/>
    <w:rsid w:val="00433475"/>
  </w:style>
  <w:style w:type="paragraph" w:customStyle="1" w:styleId="level1">
    <w:name w:val="level 1"/>
    <w:basedOn w:val="Normal"/>
    <w:rsid w:val="008D3C37"/>
    <w:pPr>
      <w:jc w:val="center"/>
      <w:outlineLvl w:val="0"/>
    </w:pPr>
    <w:rPr>
      <w:b/>
      <w:color w:val="000000" w:themeColor="text1"/>
    </w:rPr>
  </w:style>
  <w:style w:type="paragraph" w:customStyle="1" w:styleId="level2">
    <w:name w:val="level 2"/>
    <w:basedOn w:val="level1"/>
    <w:rsid w:val="008D3C37"/>
  </w:style>
  <w:style w:type="character" w:customStyle="1" w:styleId="UnresolvedMention1">
    <w:name w:val="Unresolved Mention1"/>
    <w:basedOn w:val="DefaultParagraphFont"/>
    <w:uiPriority w:val="99"/>
    <w:semiHidden/>
    <w:unhideWhenUsed/>
    <w:rsid w:val="00EF53AE"/>
    <w:rPr>
      <w:color w:val="605E5C"/>
      <w:shd w:val="clear" w:color="auto" w:fill="E1DFDD"/>
    </w:rPr>
  </w:style>
  <w:style w:type="paragraph" w:styleId="TOCHeading">
    <w:name w:val="TOC Heading"/>
    <w:basedOn w:val="Heading1"/>
    <w:next w:val="Normal"/>
    <w:uiPriority w:val="39"/>
    <w:unhideWhenUsed/>
    <w:qFormat/>
    <w:rsid w:val="005F726F"/>
    <w:pPr>
      <w:spacing w:before="480"/>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559">
      <w:bodyDiv w:val="1"/>
      <w:marLeft w:val="0"/>
      <w:marRight w:val="0"/>
      <w:marTop w:val="0"/>
      <w:marBottom w:val="0"/>
      <w:divBdr>
        <w:top w:val="none" w:sz="0" w:space="0" w:color="auto"/>
        <w:left w:val="none" w:sz="0" w:space="0" w:color="auto"/>
        <w:bottom w:val="none" w:sz="0" w:space="0" w:color="auto"/>
        <w:right w:val="none" w:sz="0" w:space="0" w:color="auto"/>
      </w:divBdr>
    </w:div>
    <w:div w:id="132799601">
      <w:bodyDiv w:val="1"/>
      <w:marLeft w:val="0"/>
      <w:marRight w:val="0"/>
      <w:marTop w:val="0"/>
      <w:marBottom w:val="0"/>
      <w:divBdr>
        <w:top w:val="none" w:sz="0" w:space="0" w:color="auto"/>
        <w:left w:val="none" w:sz="0" w:space="0" w:color="auto"/>
        <w:bottom w:val="none" w:sz="0" w:space="0" w:color="auto"/>
        <w:right w:val="none" w:sz="0" w:space="0" w:color="auto"/>
      </w:divBdr>
    </w:div>
    <w:div w:id="150677872">
      <w:bodyDiv w:val="1"/>
      <w:marLeft w:val="0"/>
      <w:marRight w:val="0"/>
      <w:marTop w:val="0"/>
      <w:marBottom w:val="0"/>
      <w:divBdr>
        <w:top w:val="none" w:sz="0" w:space="0" w:color="auto"/>
        <w:left w:val="none" w:sz="0" w:space="0" w:color="auto"/>
        <w:bottom w:val="none" w:sz="0" w:space="0" w:color="auto"/>
        <w:right w:val="none" w:sz="0" w:space="0" w:color="auto"/>
      </w:divBdr>
    </w:div>
    <w:div w:id="192305975">
      <w:bodyDiv w:val="1"/>
      <w:marLeft w:val="0"/>
      <w:marRight w:val="0"/>
      <w:marTop w:val="0"/>
      <w:marBottom w:val="0"/>
      <w:divBdr>
        <w:top w:val="none" w:sz="0" w:space="0" w:color="auto"/>
        <w:left w:val="none" w:sz="0" w:space="0" w:color="auto"/>
        <w:bottom w:val="none" w:sz="0" w:space="0" w:color="auto"/>
        <w:right w:val="none" w:sz="0" w:space="0" w:color="auto"/>
      </w:divBdr>
    </w:div>
    <w:div w:id="261114230">
      <w:bodyDiv w:val="1"/>
      <w:marLeft w:val="0"/>
      <w:marRight w:val="0"/>
      <w:marTop w:val="0"/>
      <w:marBottom w:val="0"/>
      <w:divBdr>
        <w:top w:val="none" w:sz="0" w:space="0" w:color="auto"/>
        <w:left w:val="none" w:sz="0" w:space="0" w:color="auto"/>
        <w:bottom w:val="none" w:sz="0" w:space="0" w:color="auto"/>
        <w:right w:val="none" w:sz="0" w:space="0" w:color="auto"/>
      </w:divBdr>
    </w:div>
    <w:div w:id="291639207">
      <w:bodyDiv w:val="1"/>
      <w:marLeft w:val="0"/>
      <w:marRight w:val="0"/>
      <w:marTop w:val="0"/>
      <w:marBottom w:val="0"/>
      <w:divBdr>
        <w:top w:val="none" w:sz="0" w:space="0" w:color="auto"/>
        <w:left w:val="none" w:sz="0" w:space="0" w:color="auto"/>
        <w:bottom w:val="none" w:sz="0" w:space="0" w:color="auto"/>
        <w:right w:val="none" w:sz="0" w:space="0" w:color="auto"/>
      </w:divBdr>
    </w:div>
    <w:div w:id="293562021">
      <w:bodyDiv w:val="1"/>
      <w:marLeft w:val="0"/>
      <w:marRight w:val="0"/>
      <w:marTop w:val="0"/>
      <w:marBottom w:val="0"/>
      <w:divBdr>
        <w:top w:val="none" w:sz="0" w:space="0" w:color="auto"/>
        <w:left w:val="none" w:sz="0" w:space="0" w:color="auto"/>
        <w:bottom w:val="none" w:sz="0" w:space="0" w:color="auto"/>
        <w:right w:val="none" w:sz="0" w:space="0" w:color="auto"/>
      </w:divBdr>
    </w:div>
    <w:div w:id="362748912">
      <w:bodyDiv w:val="1"/>
      <w:marLeft w:val="0"/>
      <w:marRight w:val="0"/>
      <w:marTop w:val="0"/>
      <w:marBottom w:val="0"/>
      <w:divBdr>
        <w:top w:val="none" w:sz="0" w:space="0" w:color="auto"/>
        <w:left w:val="none" w:sz="0" w:space="0" w:color="auto"/>
        <w:bottom w:val="none" w:sz="0" w:space="0" w:color="auto"/>
        <w:right w:val="none" w:sz="0" w:space="0" w:color="auto"/>
      </w:divBdr>
    </w:div>
    <w:div w:id="388723085">
      <w:bodyDiv w:val="1"/>
      <w:marLeft w:val="0"/>
      <w:marRight w:val="0"/>
      <w:marTop w:val="0"/>
      <w:marBottom w:val="0"/>
      <w:divBdr>
        <w:top w:val="none" w:sz="0" w:space="0" w:color="auto"/>
        <w:left w:val="none" w:sz="0" w:space="0" w:color="auto"/>
        <w:bottom w:val="none" w:sz="0" w:space="0" w:color="auto"/>
        <w:right w:val="none" w:sz="0" w:space="0" w:color="auto"/>
      </w:divBdr>
    </w:div>
    <w:div w:id="398671917">
      <w:bodyDiv w:val="1"/>
      <w:marLeft w:val="0"/>
      <w:marRight w:val="0"/>
      <w:marTop w:val="0"/>
      <w:marBottom w:val="0"/>
      <w:divBdr>
        <w:top w:val="none" w:sz="0" w:space="0" w:color="auto"/>
        <w:left w:val="none" w:sz="0" w:space="0" w:color="auto"/>
        <w:bottom w:val="none" w:sz="0" w:space="0" w:color="auto"/>
        <w:right w:val="none" w:sz="0" w:space="0" w:color="auto"/>
      </w:divBdr>
    </w:div>
    <w:div w:id="476144183">
      <w:bodyDiv w:val="1"/>
      <w:marLeft w:val="0"/>
      <w:marRight w:val="0"/>
      <w:marTop w:val="0"/>
      <w:marBottom w:val="0"/>
      <w:divBdr>
        <w:top w:val="none" w:sz="0" w:space="0" w:color="auto"/>
        <w:left w:val="none" w:sz="0" w:space="0" w:color="auto"/>
        <w:bottom w:val="none" w:sz="0" w:space="0" w:color="auto"/>
        <w:right w:val="none" w:sz="0" w:space="0" w:color="auto"/>
      </w:divBdr>
    </w:div>
    <w:div w:id="491602578">
      <w:bodyDiv w:val="1"/>
      <w:marLeft w:val="0"/>
      <w:marRight w:val="0"/>
      <w:marTop w:val="0"/>
      <w:marBottom w:val="0"/>
      <w:divBdr>
        <w:top w:val="none" w:sz="0" w:space="0" w:color="auto"/>
        <w:left w:val="none" w:sz="0" w:space="0" w:color="auto"/>
        <w:bottom w:val="none" w:sz="0" w:space="0" w:color="auto"/>
        <w:right w:val="none" w:sz="0" w:space="0" w:color="auto"/>
      </w:divBdr>
    </w:div>
    <w:div w:id="560823165">
      <w:bodyDiv w:val="1"/>
      <w:marLeft w:val="0"/>
      <w:marRight w:val="0"/>
      <w:marTop w:val="0"/>
      <w:marBottom w:val="0"/>
      <w:divBdr>
        <w:top w:val="none" w:sz="0" w:space="0" w:color="auto"/>
        <w:left w:val="none" w:sz="0" w:space="0" w:color="auto"/>
        <w:bottom w:val="none" w:sz="0" w:space="0" w:color="auto"/>
        <w:right w:val="none" w:sz="0" w:space="0" w:color="auto"/>
      </w:divBdr>
    </w:div>
    <w:div w:id="568153622">
      <w:bodyDiv w:val="1"/>
      <w:marLeft w:val="0"/>
      <w:marRight w:val="0"/>
      <w:marTop w:val="0"/>
      <w:marBottom w:val="0"/>
      <w:divBdr>
        <w:top w:val="none" w:sz="0" w:space="0" w:color="auto"/>
        <w:left w:val="none" w:sz="0" w:space="0" w:color="auto"/>
        <w:bottom w:val="none" w:sz="0" w:space="0" w:color="auto"/>
        <w:right w:val="none" w:sz="0" w:space="0" w:color="auto"/>
      </w:divBdr>
      <w:divsChild>
        <w:div w:id="1161117531">
          <w:marLeft w:val="907"/>
          <w:marRight w:val="0"/>
          <w:marTop w:val="0"/>
          <w:marBottom w:val="0"/>
          <w:divBdr>
            <w:top w:val="none" w:sz="0" w:space="0" w:color="auto"/>
            <w:left w:val="none" w:sz="0" w:space="0" w:color="auto"/>
            <w:bottom w:val="none" w:sz="0" w:space="0" w:color="auto"/>
            <w:right w:val="none" w:sz="0" w:space="0" w:color="auto"/>
          </w:divBdr>
        </w:div>
      </w:divsChild>
    </w:div>
    <w:div w:id="611672607">
      <w:bodyDiv w:val="1"/>
      <w:marLeft w:val="0"/>
      <w:marRight w:val="0"/>
      <w:marTop w:val="0"/>
      <w:marBottom w:val="0"/>
      <w:divBdr>
        <w:top w:val="none" w:sz="0" w:space="0" w:color="auto"/>
        <w:left w:val="none" w:sz="0" w:space="0" w:color="auto"/>
        <w:bottom w:val="none" w:sz="0" w:space="0" w:color="auto"/>
        <w:right w:val="none" w:sz="0" w:space="0" w:color="auto"/>
      </w:divBdr>
      <w:divsChild>
        <w:div w:id="2016108818">
          <w:marLeft w:val="907"/>
          <w:marRight w:val="0"/>
          <w:marTop w:val="0"/>
          <w:marBottom w:val="0"/>
          <w:divBdr>
            <w:top w:val="none" w:sz="0" w:space="0" w:color="auto"/>
            <w:left w:val="none" w:sz="0" w:space="0" w:color="auto"/>
            <w:bottom w:val="none" w:sz="0" w:space="0" w:color="auto"/>
            <w:right w:val="none" w:sz="0" w:space="0" w:color="auto"/>
          </w:divBdr>
        </w:div>
      </w:divsChild>
    </w:div>
    <w:div w:id="622730952">
      <w:bodyDiv w:val="1"/>
      <w:marLeft w:val="0"/>
      <w:marRight w:val="0"/>
      <w:marTop w:val="0"/>
      <w:marBottom w:val="0"/>
      <w:divBdr>
        <w:top w:val="none" w:sz="0" w:space="0" w:color="auto"/>
        <w:left w:val="none" w:sz="0" w:space="0" w:color="auto"/>
        <w:bottom w:val="none" w:sz="0" w:space="0" w:color="auto"/>
        <w:right w:val="none" w:sz="0" w:space="0" w:color="auto"/>
      </w:divBdr>
      <w:divsChild>
        <w:div w:id="1721631857">
          <w:marLeft w:val="547"/>
          <w:marRight w:val="0"/>
          <w:marTop w:val="0"/>
          <w:marBottom w:val="0"/>
          <w:divBdr>
            <w:top w:val="none" w:sz="0" w:space="0" w:color="auto"/>
            <w:left w:val="none" w:sz="0" w:space="0" w:color="auto"/>
            <w:bottom w:val="none" w:sz="0" w:space="0" w:color="auto"/>
            <w:right w:val="none" w:sz="0" w:space="0" w:color="auto"/>
          </w:divBdr>
        </w:div>
        <w:div w:id="1557815773">
          <w:marLeft w:val="547"/>
          <w:marRight w:val="0"/>
          <w:marTop w:val="0"/>
          <w:marBottom w:val="0"/>
          <w:divBdr>
            <w:top w:val="none" w:sz="0" w:space="0" w:color="auto"/>
            <w:left w:val="none" w:sz="0" w:space="0" w:color="auto"/>
            <w:bottom w:val="none" w:sz="0" w:space="0" w:color="auto"/>
            <w:right w:val="none" w:sz="0" w:space="0" w:color="auto"/>
          </w:divBdr>
        </w:div>
        <w:div w:id="1556158242">
          <w:marLeft w:val="547"/>
          <w:marRight w:val="0"/>
          <w:marTop w:val="0"/>
          <w:marBottom w:val="0"/>
          <w:divBdr>
            <w:top w:val="none" w:sz="0" w:space="0" w:color="auto"/>
            <w:left w:val="none" w:sz="0" w:space="0" w:color="auto"/>
            <w:bottom w:val="none" w:sz="0" w:space="0" w:color="auto"/>
            <w:right w:val="none" w:sz="0" w:space="0" w:color="auto"/>
          </w:divBdr>
        </w:div>
        <w:div w:id="1264071427">
          <w:marLeft w:val="547"/>
          <w:marRight w:val="0"/>
          <w:marTop w:val="0"/>
          <w:marBottom w:val="0"/>
          <w:divBdr>
            <w:top w:val="none" w:sz="0" w:space="0" w:color="auto"/>
            <w:left w:val="none" w:sz="0" w:space="0" w:color="auto"/>
            <w:bottom w:val="none" w:sz="0" w:space="0" w:color="auto"/>
            <w:right w:val="none" w:sz="0" w:space="0" w:color="auto"/>
          </w:divBdr>
        </w:div>
        <w:div w:id="1378701786">
          <w:marLeft w:val="547"/>
          <w:marRight w:val="0"/>
          <w:marTop w:val="0"/>
          <w:marBottom w:val="0"/>
          <w:divBdr>
            <w:top w:val="none" w:sz="0" w:space="0" w:color="auto"/>
            <w:left w:val="none" w:sz="0" w:space="0" w:color="auto"/>
            <w:bottom w:val="none" w:sz="0" w:space="0" w:color="auto"/>
            <w:right w:val="none" w:sz="0" w:space="0" w:color="auto"/>
          </w:divBdr>
        </w:div>
        <w:div w:id="1129592203">
          <w:marLeft w:val="1166"/>
          <w:marRight w:val="0"/>
          <w:marTop w:val="0"/>
          <w:marBottom w:val="0"/>
          <w:divBdr>
            <w:top w:val="none" w:sz="0" w:space="0" w:color="auto"/>
            <w:left w:val="none" w:sz="0" w:space="0" w:color="auto"/>
            <w:bottom w:val="none" w:sz="0" w:space="0" w:color="auto"/>
            <w:right w:val="none" w:sz="0" w:space="0" w:color="auto"/>
          </w:divBdr>
        </w:div>
      </w:divsChild>
    </w:div>
    <w:div w:id="627130014">
      <w:bodyDiv w:val="1"/>
      <w:marLeft w:val="0"/>
      <w:marRight w:val="0"/>
      <w:marTop w:val="0"/>
      <w:marBottom w:val="0"/>
      <w:divBdr>
        <w:top w:val="none" w:sz="0" w:space="0" w:color="auto"/>
        <w:left w:val="none" w:sz="0" w:space="0" w:color="auto"/>
        <w:bottom w:val="none" w:sz="0" w:space="0" w:color="auto"/>
        <w:right w:val="none" w:sz="0" w:space="0" w:color="auto"/>
      </w:divBdr>
      <w:divsChild>
        <w:div w:id="203179169">
          <w:marLeft w:val="907"/>
          <w:marRight w:val="0"/>
          <w:marTop w:val="0"/>
          <w:marBottom w:val="0"/>
          <w:divBdr>
            <w:top w:val="none" w:sz="0" w:space="0" w:color="auto"/>
            <w:left w:val="none" w:sz="0" w:space="0" w:color="auto"/>
            <w:bottom w:val="none" w:sz="0" w:space="0" w:color="auto"/>
            <w:right w:val="none" w:sz="0" w:space="0" w:color="auto"/>
          </w:divBdr>
        </w:div>
        <w:div w:id="1043141593">
          <w:marLeft w:val="907"/>
          <w:marRight w:val="0"/>
          <w:marTop w:val="0"/>
          <w:marBottom w:val="0"/>
          <w:divBdr>
            <w:top w:val="none" w:sz="0" w:space="0" w:color="auto"/>
            <w:left w:val="none" w:sz="0" w:space="0" w:color="auto"/>
            <w:bottom w:val="none" w:sz="0" w:space="0" w:color="auto"/>
            <w:right w:val="none" w:sz="0" w:space="0" w:color="auto"/>
          </w:divBdr>
        </w:div>
        <w:div w:id="586883205">
          <w:marLeft w:val="907"/>
          <w:marRight w:val="0"/>
          <w:marTop w:val="0"/>
          <w:marBottom w:val="0"/>
          <w:divBdr>
            <w:top w:val="none" w:sz="0" w:space="0" w:color="auto"/>
            <w:left w:val="none" w:sz="0" w:space="0" w:color="auto"/>
            <w:bottom w:val="none" w:sz="0" w:space="0" w:color="auto"/>
            <w:right w:val="none" w:sz="0" w:space="0" w:color="auto"/>
          </w:divBdr>
        </w:div>
      </w:divsChild>
    </w:div>
    <w:div w:id="692264025">
      <w:bodyDiv w:val="1"/>
      <w:marLeft w:val="0"/>
      <w:marRight w:val="0"/>
      <w:marTop w:val="0"/>
      <w:marBottom w:val="0"/>
      <w:divBdr>
        <w:top w:val="none" w:sz="0" w:space="0" w:color="auto"/>
        <w:left w:val="none" w:sz="0" w:space="0" w:color="auto"/>
        <w:bottom w:val="none" w:sz="0" w:space="0" w:color="auto"/>
        <w:right w:val="none" w:sz="0" w:space="0" w:color="auto"/>
      </w:divBdr>
    </w:div>
    <w:div w:id="720403858">
      <w:bodyDiv w:val="1"/>
      <w:marLeft w:val="0"/>
      <w:marRight w:val="0"/>
      <w:marTop w:val="0"/>
      <w:marBottom w:val="0"/>
      <w:divBdr>
        <w:top w:val="none" w:sz="0" w:space="0" w:color="auto"/>
        <w:left w:val="none" w:sz="0" w:space="0" w:color="auto"/>
        <w:bottom w:val="none" w:sz="0" w:space="0" w:color="auto"/>
        <w:right w:val="none" w:sz="0" w:space="0" w:color="auto"/>
      </w:divBdr>
    </w:div>
    <w:div w:id="834030228">
      <w:bodyDiv w:val="1"/>
      <w:marLeft w:val="0"/>
      <w:marRight w:val="0"/>
      <w:marTop w:val="0"/>
      <w:marBottom w:val="0"/>
      <w:divBdr>
        <w:top w:val="none" w:sz="0" w:space="0" w:color="auto"/>
        <w:left w:val="none" w:sz="0" w:space="0" w:color="auto"/>
        <w:bottom w:val="none" w:sz="0" w:space="0" w:color="auto"/>
        <w:right w:val="none" w:sz="0" w:space="0" w:color="auto"/>
      </w:divBdr>
      <w:divsChild>
        <w:div w:id="1927691960">
          <w:marLeft w:val="547"/>
          <w:marRight w:val="0"/>
          <w:marTop w:val="0"/>
          <w:marBottom w:val="0"/>
          <w:divBdr>
            <w:top w:val="none" w:sz="0" w:space="0" w:color="auto"/>
            <w:left w:val="none" w:sz="0" w:space="0" w:color="auto"/>
            <w:bottom w:val="none" w:sz="0" w:space="0" w:color="auto"/>
            <w:right w:val="none" w:sz="0" w:space="0" w:color="auto"/>
          </w:divBdr>
        </w:div>
      </w:divsChild>
    </w:div>
    <w:div w:id="873545245">
      <w:bodyDiv w:val="1"/>
      <w:marLeft w:val="0"/>
      <w:marRight w:val="0"/>
      <w:marTop w:val="0"/>
      <w:marBottom w:val="0"/>
      <w:divBdr>
        <w:top w:val="none" w:sz="0" w:space="0" w:color="auto"/>
        <w:left w:val="none" w:sz="0" w:space="0" w:color="auto"/>
        <w:bottom w:val="none" w:sz="0" w:space="0" w:color="auto"/>
        <w:right w:val="none" w:sz="0" w:space="0" w:color="auto"/>
      </w:divBdr>
    </w:div>
    <w:div w:id="882130314">
      <w:bodyDiv w:val="1"/>
      <w:marLeft w:val="0"/>
      <w:marRight w:val="0"/>
      <w:marTop w:val="0"/>
      <w:marBottom w:val="0"/>
      <w:divBdr>
        <w:top w:val="none" w:sz="0" w:space="0" w:color="auto"/>
        <w:left w:val="none" w:sz="0" w:space="0" w:color="auto"/>
        <w:bottom w:val="none" w:sz="0" w:space="0" w:color="auto"/>
        <w:right w:val="none" w:sz="0" w:space="0" w:color="auto"/>
      </w:divBdr>
      <w:divsChild>
        <w:div w:id="1247032919">
          <w:marLeft w:val="547"/>
          <w:marRight w:val="0"/>
          <w:marTop w:val="0"/>
          <w:marBottom w:val="0"/>
          <w:divBdr>
            <w:top w:val="none" w:sz="0" w:space="0" w:color="auto"/>
            <w:left w:val="none" w:sz="0" w:space="0" w:color="auto"/>
            <w:bottom w:val="none" w:sz="0" w:space="0" w:color="auto"/>
            <w:right w:val="none" w:sz="0" w:space="0" w:color="auto"/>
          </w:divBdr>
        </w:div>
      </w:divsChild>
    </w:div>
    <w:div w:id="911815793">
      <w:bodyDiv w:val="1"/>
      <w:marLeft w:val="0"/>
      <w:marRight w:val="0"/>
      <w:marTop w:val="0"/>
      <w:marBottom w:val="0"/>
      <w:divBdr>
        <w:top w:val="none" w:sz="0" w:space="0" w:color="auto"/>
        <w:left w:val="none" w:sz="0" w:space="0" w:color="auto"/>
        <w:bottom w:val="none" w:sz="0" w:space="0" w:color="auto"/>
        <w:right w:val="none" w:sz="0" w:space="0" w:color="auto"/>
      </w:divBdr>
      <w:divsChild>
        <w:div w:id="81613521">
          <w:marLeft w:val="1080"/>
          <w:marRight w:val="0"/>
          <w:marTop w:val="0"/>
          <w:marBottom w:val="0"/>
          <w:divBdr>
            <w:top w:val="none" w:sz="0" w:space="0" w:color="auto"/>
            <w:left w:val="none" w:sz="0" w:space="0" w:color="auto"/>
            <w:bottom w:val="none" w:sz="0" w:space="0" w:color="auto"/>
            <w:right w:val="none" w:sz="0" w:space="0" w:color="auto"/>
          </w:divBdr>
        </w:div>
      </w:divsChild>
    </w:div>
    <w:div w:id="920678870">
      <w:bodyDiv w:val="1"/>
      <w:marLeft w:val="0"/>
      <w:marRight w:val="0"/>
      <w:marTop w:val="0"/>
      <w:marBottom w:val="0"/>
      <w:divBdr>
        <w:top w:val="none" w:sz="0" w:space="0" w:color="auto"/>
        <w:left w:val="none" w:sz="0" w:space="0" w:color="auto"/>
        <w:bottom w:val="none" w:sz="0" w:space="0" w:color="auto"/>
        <w:right w:val="none" w:sz="0" w:space="0" w:color="auto"/>
      </w:divBdr>
      <w:divsChild>
        <w:div w:id="1196845725">
          <w:marLeft w:val="547"/>
          <w:marRight w:val="0"/>
          <w:marTop w:val="0"/>
          <w:marBottom w:val="0"/>
          <w:divBdr>
            <w:top w:val="none" w:sz="0" w:space="0" w:color="auto"/>
            <w:left w:val="none" w:sz="0" w:space="0" w:color="auto"/>
            <w:bottom w:val="none" w:sz="0" w:space="0" w:color="auto"/>
            <w:right w:val="none" w:sz="0" w:space="0" w:color="auto"/>
          </w:divBdr>
        </w:div>
      </w:divsChild>
    </w:div>
    <w:div w:id="957102513">
      <w:bodyDiv w:val="1"/>
      <w:marLeft w:val="0"/>
      <w:marRight w:val="0"/>
      <w:marTop w:val="0"/>
      <w:marBottom w:val="0"/>
      <w:divBdr>
        <w:top w:val="none" w:sz="0" w:space="0" w:color="auto"/>
        <w:left w:val="none" w:sz="0" w:space="0" w:color="auto"/>
        <w:bottom w:val="none" w:sz="0" w:space="0" w:color="auto"/>
        <w:right w:val="none" w:sz="0" w:space="0" w:color="auto"/>
      </w:divBdr>
      <w:divsChild>
        <w:div w:id="116072881">
          <w:marLeft w:val="1080"/>
          <w:marRight w:val="0"/>
          <w:marTop w:val="240"/>
          <w:marBottom w:val="0"/>
          <w:divBdr>
            <w:top w:val="none" w:sz="0" w:space="0" w:color="auto"/>
            <w:left w:val="none" w:sz="0" w:space="0" w:color="auto"/>
            <w:bottom w:val="none" w:sz="0" w:space="0" w:color="auto"/>
            <w:right w:val="none" w:sz="0" w:space="0" w:color="auto"/>
          </w:divBdr>
        </w:div>
        <w:div w:id="629747407">
          <w:marLeft w:val="1080"/>
          <w:marRight w:val="0"/>
          <w:marTop w:val="240"/>
          <w:marBottom w:val="0"/>
          <w:divBdr>
            <w:top w:val="none" w:sz="0" w:space="0" w:color="auto"/>
            <w:left w:val="none" w:sz="0" w:space="0" w:color="auto"/>
            <w:bottom w:val="none" w:sz="0" w:space="0" w:color="auto"/>
            <w:right w:val="none" w:sz="0" w:space="0" w:color="auto"/>
          </w:divBdr>
        </w:div>
        <w:div w:id="1143742464">
          <w:marLeft w:val="1080"/>
          <w:marRight w:val="0"/>
          <w:marTop w:val="240"/>
          <w:marBottom w:val="0"/>
          <w:divBdr>
            <w:top w:val="none" w:sz="0" w:space="0" w:color="auto"/>
            <w:left w:val="none" w:sz="0" w:space="0" w:color="auto"/>
            <w:bottom w:val="none" w:sz="0" w:space="0" w:color="auto"/>
            <w:right w:val="none" w:sz="0" w:space="0" w:color="auto"/>
          </w:divBdr>
        </w:div>
      </w:divsChild>
    </w:div>
    <w:div w:id="987367386">
      <w:bodyDiv w:val="1"/>
      <w:marLeft w:val="0"/>
      <w:marRight w:val="0"/>
      <w:marTop w:val="0"/>
      <w:marBottom w:val="0"/>
      <w:divBdr>
        <w:top w:val="none" w:sz="0" w:space="0" w:color="auto"/>
        <w:left w:val="none" w:sz="0" w:space="0" w:color="auto"/>
        <w:bottom w:val="none" w:sz="0" w:space="0" w:color="auto"/>
        <w:right w:val="none" w:sz="0" w:space="0" w:color="auto"/>
      </w:divBdr>
    </w:div>
    <w:div w:id="990058940">
      <w:bodyDiv w:val="1"/>
      <w:marLeft w:val="0"/>
      <w:marRight w:val="0"/>
      <w:marTop w:val="0"/>
      <w:marBottom w:val="0"/>
      <w:divBdr>
        <w:top w:val="none" w:sz="0" w:space="0" w:color="auto"/>
        <w:left w:val="none" w:sz="0" w:space="0" w:color="auto"/>
        <w:bottom w:val="none" w:sz="0" w:space="0" w:color="auto"/>
        <w:right w:val="none" w:sz="0" w:space="0" w:color="auto"/>
      </w:divBdr>
    </w:div>
    <w:div w:id="993529314">
      <w:bodyDiv w:val="1"/>
      <w:marLeft w:val="0"/>
      <w:marRight w:val="0"/>
      <w:marTop w:val="0"/>
      <w:marBottom w:val="0"/>
      <w:divBdr>
        <w:top w:val="none" w:sz="0" w:space="0" w:color="auto"/>
        <w:left w:val="none" w:sz="0" w:space="0" w:color="auto"/>
        <w:bottom w:val="none" w:sz="0" w:space="0" w:color="auto"/>
        <w:right w:val="none" w:sz="0" w:space="0" w:color="auto"/>
      </w:divBdr>
      <w:divsChild>
        <w:div w:id="653023053">
          <w:marLeft w:val="907"/>
          <w:marRight w:val="0"/>
          <w:marTop w:val="0"/>
          <w:marBottom w:val="0"/>
          <w:divBdr>
            <w:top w:val="none" w:sz="0" w:space="0" w:color="auto"/>
            <w:left w:val="none" w:sz="0" w:space="0" w:color="auto"/>
            <w:bottom w:val="none" w:sz="0" w:space="0" w:color="auto"/>
            <w:right w:val="none" w:sz="0" w:space="0" w:color="auto"/>
          </w:divBdr>
        </w:div>
      </w:divsChild>
    </w:div>
    <w:div w:id="1020397262">
      <w:bodyDiv w:val="1"/>
      <w:marLeft w:val="0"/>
      <w:marRight w:val="0"/>
      <w:marTop w:val="0"/>
      <w:marBottom w:val="0"/>
      <w:divBdr>
        <w:top w:val="none" w:sz="0" w:space="0" w:color="auto"/>
        <w:left w:val="none" w:sz="0" w:space="0" w:color="auto"/>
        <w:bottom w:val="none" w:sz="0" w:space="0" w:color="auto"/>
        <w:right w:val="none" w:sz="0" w:space="0" w:color="auto"/>
      </w:divBdr>
    </w:div>
    <w:div w:id="1063411908">
      <w:bodyDiv w:val="1"/>
      <w:marLeft w:val="0"/>
      <w:marRight w:val="0"/>
      <w:marTop w:val="0"/>
      <w:marBottom w:val="0"/>
      <w:divBdr>
        <w:top w:val="none" w:sz="0" w:space="0" w:color="auto"/>
        <w:left w:val="none" w:sz="0" w:space="0" w:color="auto"/>
        <w:bottom w:val="none" w:sz="0" w:space="0" w:color="auto"/>
        <w:right w:val="none" w:sz="0" w:space="0" w:color="auto"/>
      </w:divBdr>
    </w:div>
    <w:div w:id="1105610303">
      <w:bodyDiv w:val="1"/>
      <w:marLeft w:val="0"/>
      <w:marRight w:val="0"/>
      <w:marTop w:val="0"/>
      <w:marBottom w:val="0"/>
      <w:divBdr>
        <w:top w:val="none" w:sz="0" w:space="0" w:color="auto"/>
        <w:left w:val="none" w:sz="0" w:space="0" w:color="auto"/>
        <w:bottom w:val="none" w:sz="0" w:space="0" w:color="auto"/>
        <w:right w:val="none" w:sz="0" w:space="0" w:color="auto"/>
      </w:divBdr>
      <w:divsChild>
        <w:div w:id="1493134068">
          <w:marLeft w:val="547"/>
          <w:marRight w:val="0"/>
          <w:marTop w:val="0"/>
          <w:marBottom w:val="0"/>
          <w:divBdr>
            <w:top w:val="none" w:sz="0" w:space="0" w:color="auto"/>
            <w:left w:val="none" w:sz="0" w:space="0" w:color="auto"/>
            <w:bottom w:val="none" w:sz="0" w:space="0" w:color="auto"/>
            <w:right w:val="none" w:sz="0" w:space="0" w:color="auto"/>
          </w:divBdr>
        </w:div>
        <w:div w:id="775174537">
          <w:marLeft w:val="547"/>
          <w:marRight w:val="0"/>
          <w:marTop w:val="0"/>
          <w:marBottom w:val="0"/>
          <w:divBdr>
            <w:top w:val="none" w:sz="0" w:space="0" w:color="auto"/>
            <w:left w:val="none" w:sz="0" w:space="0" w:color="auto"/>
            <w:bottom w:val="none" w:sz="0" w:space="0" w:color="auto"/>
            <w:right w:val="none" w:sz="0" w:space="0" w:color="auto"/>
          </w:divBdr>
        </w:div>
        <w:div w:id="1225679407">
          <w:marLeft w:val="1166"/>
          <w:marRight w:val="0"/>
          <w:marTop w:val="0"/>
          <w:marBottom w:val="0"/>
          <w:divBdr>
            <w:top w:val="none" w:sz="0" w:space="0" w:color="auto"/>
            <w:left w:val="none" w:sz="0" w:space="0" w:color="auto"/>
            <w:bottom w:val="none" w:sz="0" w:space="0" w:color="auto"/>
            <w:right w:val="none" w:sz="0" w:space="0" w:color="auto"/>
          </w:divBdr>
        </w:div>
        <w:div w:id="1336492410">
          <w:marLeft w:val="1166"/>
          <w:marRight w:val="0"/>
          <w:marTop w:val="0"/>
          <w:marBottom w:val="0"/>
          <w:divBdr>
            <w:top w:val="none" w:sz="0" w:space="0" w:color="auto"/>
            <w:left w:val="none" w:sz="0" w:space="0" w:color="auto"/>
            <w:bottom w:val="none" w:sz="0" w:space="0" w:color="auto"/>
            <w:right w:val="none" w:sz="0" w:space="0" w:color="auto"/>
          </w:divBdr>
        </w:div>
        <w:div w:id="1812481988">
          <w:marLeft w:val="547"/>
          <w:marRight w:val="0"/>
          <w:marTop w:val="0"/>
          <w:marBottom w:val="0"/>
          <w:divBdr>
            <w:top w:val="none" w:sz="0" w:space="0" w:color="auto"/>
            <w:left w:val="none" w:sz="0" w:space="0" w:color="auto"/>
            <w:bottom w:val="none" w:sz="0" w:space="0" w:color="auto"/>
            <w:right w:val="none" w:sz="0" w:space="0" w:color="auto"/>
          </w:divBdr>
        </w:div>
      </w:divsChild>
    </w:div>
    <w:div w:id="1107194586">
      <w:bodyDiv w:val="1"/>
      <w:marLeft w:val="0"/>
      <w:marRight w:val="0"/>
      <w:marTop w:val="0"/>
      <w:marBottom w:val="0"/>
      <w:divBdr>
        <w:top w:val="none" w:sz="0" w:space="0" w:color="auto"/>
        <w:left w:val="none" w:sz="0" w:space="0" w:color="auto"/>
        <w:bottom w:val="none" w:sz="0" w:space="0" w:color="auto"/>
        <w:right w:val="none" w:sz="0" w:space="0" w:color="auto"/>
      </w:divBdr>
    </w:div>
    <w:div w:id="1108039275">
      <w:bodyDiv w:val="1"/>
      <w:marLeft w:val="0"/>
      <w:marRight w:val="0"/>
      <w:marTop w:val="0"/>
      <w:marBottom w:val="0"/>
      <w:divBdr>
        <w:top w:val="none" w:sz="0" w:space="0" w:color="auto"/>
        <w:left w:val="none" w:sz="0" w:space="0" w:color="auto"/>
        <w:bottom w:val="none" w:sz="0" w:space="0" w:color="auto"/>
        <w:right w:val="none" w:sz="0" w:space="0" w:color="auto"/>
      </w:divBdr>
    </w:div>
    <w:div w:id="1114180010">
      <w:bodyDiv w:val="1"/>
      <w:marLeft w:val="0"/>
      <w:marRight w:val="0"/>
      <w:marTop w:val="0"/>
      <w:marBottom w:val="0"/>
      <w:divBdr>
        <w:top w:val="none" w:sz="0" w:space="0" w:color="auto"/>
        <w:left w:val="none" w:sz="0" w:space="0" w:color="auto"/>
        <w:bottom w:val="none" w:sz="0" w:space="0" w:color="auto"/>
        <w:right w:val="none" w:sz="0" w:space="0" w:color="auto"/>
      </w:divBdr>
    </w:div>
    <w:div w:id="1126125344">
      <w:bodyDiv w:val="1"/>
      <w:marLeft w:val="0"/>
      <w:marRight w:val="0"/>
      <w:marTop w:val="0"/>
      <w:marBottom w:val="0"/>
      <w:divBdr>
        <w:top w:val="none" w:sz="0" w:space="0" w:color="auto"/>
        <w:left w:val="none" w:sz="0" w:space="0" w:color="auto"/>
        <w:bottom w:val="none" w:sz="0" w:space="0" w:color="auto"/>
        <w:right w:val="none" w:sz="0" w:space="0" w:color="auto"/>
      </w:divBdr>
    </w:div>
    <w:div w:id="1143041312">
      <w:bodyDiv w:val="1"/>
      <w:marLeft w:val="0"/>
      <w:marRight w:val="0"/>
      <w:marTop w:val="0"/>
      <w:marBottom w:val="0"/>
      <w:divBdr>
        <w:top w:val="none" w:sz="0" w:space="0" w:color="auto"/>
        <w:left w:val="none" w:sz="0" w:space="0" w:color="auto"/>
        <w:bottom w:val="none" w:sz="0" w:space="0" w:color="auto"/>
        <w:right w:val="none" w:sz="0" w:space="0" w:color="auto"/>
      </w:divBdr>
    </w:div>
    <w:div w:id="1179851798">
      <w:bodyDiv w:val="1"/>
      <w:marLeft w:val="0"/>
      <w:marRight w:val="0"/>
      <w:marTop w:val="0"/>
      <w:marBottom w:val="0"/>
      <w:divBdr>
        <w:top w:val="none" w:sz="0" w:space="0" w:color="auto"/>
        <w:left w:val="none" w:sz="0" w:space="0" w:color="auto"/>
        <w:bottom w:val="none" w:sz="0" w:space="0" w:color="auto"/>
        <w:right w:val="none" w:sz="0" w:space="0" w:color="auto"/>
      </w:divBdr>
    </w:div>
    <w:div w:id="1184395781">
      <w:bodyDiv w:val="1"/>
      <w:marLeft w:val="0"/>
      <w:marRight w:val="0"/>
      <w:marTop w:val="0"/>
      <w:marBottom w:val="0"/>
      <w:divBdr>
        <w:top w:val="none" w:sz="0" w:space="0" w:color="auto"/>
        <w:left w:val="none" w:sz="0" w:space="0" w:color="auto"/>
        <w:bottom w:val="none" w:sz="0" w:space="0" w:color="auto"/>
        <w:right w:val="none" w:sz="0" w:space="0" w:color="auto"/>
      </w:divBdr>
    </w:div>
    <w:div w:id="1192454788">
      <w:bodyDiv w:val="1"/>
      <w:marLeft w:val="0"/>
      <w:marRight w:val="0"/>
      <w:marTop w:val="0"/>
      <w:marBottom w:val="0"/>
      <w:divBdr>
        <w:top w:val="none" w:sz="0" w:space="0" w:color="auto"/>
        <w:left w:val="none" w:sz="0" w:space="0" w:color="auto"/>
        <w:bottom w:val="none" w:sz="0" w:space="0" w:color="auto"/>
        <w:right w:val="none" w:sz="0" w:space="0" w:color="auto"/>
      </w:divBdr>
    </w:div>
    <w:div w:id="1205173048">
      <w:bodyDiv w:val="1"/>
      <w:marLeft w:val="0"/>
      <w:marRight w:val="0"/>
      <w:marTop w:val="0"/>
      <w:marBottom w:val="0"/>
      <w:divBdr>
        <w:top w:val="none" w:sz="0" w:space="0" w:color="auto"/>
        <w:left w:val="none" w:sz="0" w:space="0" w:color="auto"/>
        <w:bottom w:val="none" w:sz="0" w:space="0" w:color="auto"/>
        <w:right w:val="none" w:sz="0" w:space="0" w:color="auto"/>
      </w:divBdr>
    </w:div>
    <w:div w:id="1319766178">
      <w:bodyDiv w:val="1"/>
      <w:marLeft w:val="0"/>
      <w:marRight w:val="0"/>
      <w:marTop w:val="0"/>
      <w:marBottom w:val="0"/>
      <w:divBdr>
        <w:top w:val="none" w:sz="0" w:space="0" w:color="auto"/>
        <w:left w:val="none" w:sz="0" w:space="0" w:color="auto"/>
        <w:bottom w:val="none" w:sz="0" w:space="0" w:color="auto"/>
        <w:right w:val="none" w:sz="0" w:space="0" w:color="auto"/>
      </w:divBdr>
    </w:div>
    <w:div w:id="1338386146">
      <w:bodyDiv w:val="1"/>
      <w:marLeft w:val="0"/>
      <w:marRight w:val="0"/>
      <w:marTop w:val="0"/>
      <w:marBottom w:val="0"/>
      <w:divBdr>
        <w:top w:val="none" w:sz="0" w:space="0" w:color="auto"/>
        <w:left w:val="none" w:sz="0" w:space="0" w:color="auto"/>
        <w:bottom w:val="none" w:sz="0" w:space="0" w:color="auto"/>
        <w:right w:val="none" w:sz="0" w:space="0" w:color="auto"/>
      </w:divBdr>
      <w:divsChild>
        <w:div w:id="338236181">
          <w:marLeft w:val="907"/>
          <w:marRight w:val="0"/>
          <w:marTop w:val="0"/>
          <w:marBottom w:val="0"/>
          <w:divBdr>
            <w:top w:val="none" w:sz="0" w:space="0" w:color="auto"/>
            <w:left w:val="none" w:sz="0" w:space="0" w:color="auto"/>
            <w:bottom w:val="none" w:sz="0" w:space="0" w:color="auto"/>
            <w:right w:val="none" w:sz="0" w:space="0" w:color="auto"/>
          </w:divBdr>
        </w:div>
        <w:div w:id="1772973733">
          <w:marLeft w:val="907"/>
          <w:marRight w:val="0"/>
          <w:marTop w:val="0"/>
          <w:marBottom w:val="0"/>
          <w:divBdr>
            <w:top w:val="none" w:sz="0" w:space="0" w:color="auto"/>
            <w:left w:val="none" w:sz="0" w:space="0" w:color="auto"/>
            <w:bottom w:val="none" w:sz="0" w:space="0" w:color="auto"/>
            <w:right w:val="none" w:sz="0" w:space="0" w:color="auto"/>
          </w:divBdr>
        </w:div>
      </w:divsChild>
    </w:div>
    <w:div w:id="1356927589">
      <w:bodyDiv w:val="1"/>
      <w:marLeft w:val="0"/>
      <w:marRight w:val="0"/>
      <w:marTop w:val="0"/>
      <w:marBottom w:val="0"/>
      <w:divBdr>
        <w:top w:val="none" w:sz="0" w:space="0" w:color="auto"/>
        <w:left w:val="none" w:sz="0" w:space="0" w:color="auto"/>
        <w:bottom w:val="none" w:sz="0" w:space="0" w:color="auto"/>
        <w:right w:val="none" w:sz="0" w:space="0" w:color="auto"/>
      </w:divBdr>
    </w:div>
    <w:div w:id="1458335692">
      <w:bodyDiv w:val="1"/>
      <w:marLeft w:val="0"/>
      <w:marRight w:val="0"/>
      <w:marTop w:val="0"/>
      <w:marBottom w:val="0"/>
      <w:divBdr>
        <w:top w:val="none" w:sz="0" w:space="0" w:color="auto"/>
        <w:left w:val="none" w:sz="0" w:space="0" w:color="auto"/>
        <w:bottom w:val="none" w:sz="0" w:space="0" w:color="auto"/>
        <w:right w:val="none" w:sz="0" w:space="0" w:color="auto"/>
      </w:divBdr>
    </w:div>
    <w:div w:id="1501045311">
      <w:bodyDiv w:val="1"/>
      <w:marLeft w:val="0"/>
      <w:marRight w:val="0"/>
      <w:marTop w:val="0"/>
      <w:marBottom w:val="0"/>
      <w:divBdr>
        <w:top w:val="none" w:sz="0" w:space="0" w:color="auto"/>
        <w:left w:val="none" w:sz="0" w:space="0" w:color="auto"/>
        <w:bottom w:val="none" w:sz="0" w:space="0" w:color="auto"/>
        <w:right w:val="none" w:sz="0" w:space="0" w:color="auto"/>
      </w:divBdr>
      <w:divsChild>
        <w:div w:id="645663820">
          <w:marLeft w:val="1080"/>
          <w:marRight w:val="0"/>
          <w:marTop w:val="0"/>
          <w:marBottom w:val="0"/>
          <w:divBdr>
            <w:top w:val="none" w:sz="0" w:space="0" w:color="auto"/>
            <w:left w:val="none" w:sz="0" w:space="0" w:color="auto"/>
            <w:bottom w:val="none" w:sz="0" w:space="0" w:color="auto"/>
            <w:right w:val="none" w:sz="0" w:space="0" w:color="auto"/>
          </w:divBdr>
        </w:div>
      </w:divsChild>
    </w:div>
    <w:div w:id="1509438939">
      <w:bodyDiv w:val="1"/>
      <w:marLeft w:val="0"/>
      <w:marRight w:val="0"/>
      <w:marTop w:val="0"/>
      <w:marBottom w:val="0"/>
      <w:divBdr>
        <w:top w:val="none" w:sz="0" w:space="0" w:color="auto"/>
        <w:left w:val="none" w:sz="0" w:space="0" w:color="auto"/>
        <w:bottom w:val="none" w:sz="0" w:space="0" w:color="auto"/>
        <w:right w:val="none" w:sz="0" w:space="0" w:color="auto"/>
      </w:divBdr>
    </w:div>
    <w:div w:id="1609267293">
      <w:bodyDiv w:val="1"/>
      <w:marLeft w:val="0"/>
      <w:marRight w:val="0"/>
      <w:marTop w:val="0"/>
      <w:marBottom w:val="0"/>
      <w:divBdr>
        <w:top w:val="none" w:sz="0" w:space="0" w:color="auto"/>
        <w:left w:val="none" w:sz="0" w:space="0" w:color="auto"/>
        <w:bottom w:val="none" w:sz="0" w:space="0" w:color="auto"/>
        <w:right w:val="none" w:sz="0" w:space="0" w:color="auto"/>
      </w:divBdr>
    </w:div>
    <w:div w:id="1628660471">
      <w:bodyDiv w:val="1"/>
      <w:marLeft w:val="0"/>
      <w:marRight w:val="0"/>
      <w:marTop w:val="0"/>
      <w:marBottom w:val="0"/>
      <w:divBdr>
        <w:top w:val="none" w:sz="0" w:space="0" w:color="auto"/>
        <w:left w:val="none" w:sz="0" w:space="0" w:color="auto"/>
        <w:bottom w:val="none" w:sz="0" w:space="0" w:color="auto"/>
        <w:right w:val="none" w:sz="0" w:space="0" w:color="auto"/>
      </w:divBdr>
    </w:div>
    <w:div w:id="1658261912">
      <w:bodyDiv w:val="1"/>
      <w:marLeft w:val="0"/>
      <w:marRight w:val="0"/>
      <w:marTop w:val="0"/>
      <w:marBottom w:val="0"/>
      <w:divBdr>
        <w:top w:val="none" w:sz="0" w:space="0" w:color="auto"/>
        <w:left w:val="none" w:sz="0" w:space="0" w:color="auto"/>
        <w:bottom w:val="none" w:sz="0" w:space="0" w:color="auto"/>
        <w:right w:val="none" w:sz="0" w:space="0" w:color="auto"/>
      </w:divBdr>
      <w:divsChild>
        <w:div w:id="517503998">
          <w:marLeft w:val="576"/>
          <w:marRight w:val="0"/>
          <w:marTop w:val="80"/>
          <w:marBottom w:val="0"/>
          <w:divBdr>
            <w:top w:val="none" w:sz="0" w:space="0" w:color="auto"/>
            <w:left w:val="none" w:sz="0" w:space="0" w:color="auto"/>
            <w:bottom w:val="none" w:sz="0" w:space="0" w:color="auto"/>
            <w:right w:val="none" w:sz="0" w:space="0" w:color="auto"/>
          </w:divBdr>
        </w:div>
      </w:divsChild>
    </w:div>
    <w:div w:id="1670403536">
      <w:bodyDiv w:val="1"/>
      <w:marLeft w:val="0"/>
      <w:marRight w:val="0"/>
      <w:marTop w:val="0"/>
      <w:marBottom w:val="0"/>
      <w:divBdr>
        <w:top w:val="none" w:sz="0" w:space="0" w:color="auto"/>
        <w:left w:val="none" w:sz="0" w:space="0" w:color="auto"/>
        <w:bottom w:val="none" w:sz="0" w:space="0" w:color="auto"/>
        <w:right w:val="none" w:sz="0" w:space="0" w:color="auto"/>
      </w:divBdr>
    </w:div>
    <w:div w:id="1699158832">
      <w:bodyDiv w:val="1"/>
      <w:marLeft w:val="0"/>
      <w:marRight w:val="0"/>
      <w:marTop w:val="0"/>
      <w:marBottom w:val="0"/>
      <w:divBdr>
        <w:top w:val="none" w:sz="0" w:space="0" w:color="auto"/>
        <w:left w:val="none" w:sz="0" w:space="0" w:color="auto"/>
        <w:bottom w:val="none" w:sz="0" w:space="0" w:color="auto"/>
        <w:right w:val="none" w:sz="0" w:space="0" w:color="auto"/>
      </w:divBdr>
    </w:div>
    <w:div w:id="1704017087">
      <w:bodyDiv w:val="1"/>
      <w:marLeft w:val="0"/>
      <w:marRight w:val="0"/>
      <w:marTop w:val="0"/>
      <w:marBottom w:val="0"/>
      <w:divBdr>
        <w:top w:val="none" w:sz="0" w:space="0" w:color="auto"/>
        <w:left w:val="none" w:sz="0" w:space="0" w:color="auto"/>
        <w:bottom w:val="none" w:sz="0" w:space="0" w:color="auto"/>
        <w:right w:val="none" w:sz="0" w:space="0" w:color="auto"/>
      </w:divBdr>
    </w:div>
    <w:div w:id="1710715608">
      <w:bodyDiv w:val="1"/>
      <w:marLeft w:val="0"/>
      <w:marRight w:val="0"/>
      <w:marTop w:val="0"/>
      <w:marBottom w:val="0"/>
      <w:divBdr>
        <w:top w:val="none" w:sz="0" w:space="0" w:color="auto"/>
        <w:left w:val="none" w:sz="0" w:space="0" w:color="auto"/>
        <w:bottom w:val="none" w:sz="0" w:space="0" w:color="auto"/>
        <w:right w:val="none" w:sz="0" w:space="0" w:color="auto"/>
      </w:divBdr>
      <w:divsChild>
        <w:div w:id="1166748457">
          <w:marLeft w:val="907"/>
          <w:marRight w:val="0"/>
          <w:marTop w:val="0"/>
          <w:marBottom w:val="0"/>
          <w:divBdr>
            <w:top w:val="none" w:sz="0" w:space="0" w:color="auto"/>
            <w:left w:val="none" w:sz="0" w:space="0" w:color="auto"/>
            <w:bottom w:val="none" w:sz="0" w:space="0" w:color="auto"/>
            <w:right w:val="none" w:sz="0" w:space="0" w:color="auto"/>
          </w:divBdr>
        </w:div>
      </w:divsChild>
    </w:div>
    <w:div w:id="1730881367">
      <w:bodyDiv w:val="1"/>
      <w:marLeft w:val="0"/>
      <w:marRight w:val="0"/>
      <w:marTop w:val="0"/>
      <w:marBottom w:val="0"/>
      <w:divBdr>
        <w:top w:val="none" w:sz="0" w:space="0" w:color="auto"/>
        <w:left w:val="none" w:sz="0" w:space="0" w:color="auto"/>
        <w:bottom w:val="none" w:sz="0" w:space="0" w:color="auto"/>
        <w:right w:val="none" w:sz="0" w:space="0" w:color="auto"/>
      </w:divBdr>
    </w:div>
    <w:div w:id="1807235531">
      <w:bodyDiv w:val="1"/>
      <w:marLeft w:val="0"/>
      <w:marRight w:val="0"/>
      <w:marTop w:val="0"/>
      <w:marBottom w:val="0"/>
      <w:divBdr>
        <w:top w:val="none" w:sz="0" w:space="0" w:color="auto"/>
        <w:left w:val="none" w:sz="0" w:space="0" w:color="auto"/>
        <w:bottom w:val="none" w:sz="0" w:space="0" w:color="auto"/>
        <w:right w:val="none" w:sz="0" w:space="0" w:color="auto"/>
      </w:divBdr>
    </w:div>
    <w:div w:id="1856114366">
      <w:bodyDiv w:val="1"/>
      <w:marLeft w:val="0"/>
      <w:marRight w:val="0"/>
      <w:marTop w:val="0"/>
      <w:marBottom w:val="0"/>
      <w:divBdr>
        <w:top w:val="none" w:sz="0" w:space="0" w:color="auto"/>
        <w:left w:val="none" w:sz="0" w:space="0" w:color="auto"/>
        <w:bottom w:val="none" w:sz="0" w:space="0" w:color="auto"/>
        <w:right w:val="none" w:sz="0" w:space="0" w:color="auto"/>
      </w:divBdr>
    </w:div>
    <w:div w:id="1945454108">
      <w:bodyDiv w:val="1"/>
      <w:marLeft w:val="0"/>
      <w:marRight w:val="0"/>
      <w:marTop w:val="0"/>
      <w:marBottom w:val="0"/>
      <w:divBdr>
        <w:top w:val="none" w:sz="0" w:space="0" w:color="auto"/>
        <w:left w:val="none" w:sz="0" w:space="0" w:color="auto"/>
        <w:bottom w:val="none" w:sz="0" w:space="0" w:color="auto"/>
        <w:right w:val="none" w:sz="0" w:space="0" w:color="auto"/>
      </w:divBdr>
    </w:div>
    <w:div w:id="1946620915">
      <w:bodyDiv w:val="1"/>
      <w:marLeft w:val="0"/>
      <w:marRight w:val="0"/>
      <w:marTop w:val="0"/>
      <w:marBottom w:val="0"/>
      <w:divBdr>
        <w:top w:val="none" w:sz="0" w:space="0" w:color="auto"/>
        <w:left w:val="none" w:sz="0" w:space="0" w:color="auto"/>
        <w:bottom w:val="none" w:sz="0" w:space="0" w:color="auto"/>
        <w:right w:val="none" w:sz="0" w:space="0" w:color="auto"/>
      </w:divBdr>
    </w:div>
    <w:div w:id="1948999585">
      <w:bodyDiv w:val="1"/>
      <w:marLeft w:val="0"/>
      <w:marRight w:val="0"/>
      <w:marTop w:val="0"/>
      <w:marBottom w:val="0"/>
      <w:divBdr>
        <w:top w:val="none" w:sz="0" w:space="0" w:color="auto"/>
        <w:left w:val="none" w:sz="0" w:space="0" w:color="auto"/>
        <w:bottom w:val="none" w:sz="0" w:space="0" w:color="auto"/>
        <w:right w:val="none" w:sz="0" w:space="0" w:color="auto"/>
      </w:divBdr>
      <w:divsChild>
        <w:div w:id="1115052762">
          <w:marLeft w:val="734"/>
          <w:marRight w:val="0"/>
          <w:marTop w:val="200"/>
          <w:marBottom w:val="100"/>
          <w:divBdr>
            <w:top w:val="none" w:sz="0" w:space="0" w:color="auto"/>
            <w:left w:val="none" w:sz="0" w:space="0" w:color="auto"/>
            <w:bottom w:val="none" w:sz="0" w:space="0" w:color="auto"/>
            <w:right w:val="none" w:sz="0" w:space="0" w:color="auto"/>
          </w:divBdr>
        </w:div>
        <w:div w:id="2069257954">
          <w:marLeft w:val="1454"/>
          <w:marRight w:val="0"/>
          <w:marTop w:val="0"/>
          <w:marBottom w:val="60"/>
          <w:divBdr>
            <w:top w:val="none" w:sz="0" w:space="0" w:color="auto"/>
            <w:left w:val="none" w:sz="0" w:space="0" w:color="auto"/>
            <w:bottom w:val="none" w:sz="0" w:space="0" w:color="auto"/>
            <w:right w:val="none" w:sz="0" w:space="0" w:color="auto"/>
          </w:divBdr>
        </w:div>
        <w:div w:id="376785703">
          <w:marLeft w:val="1454"/>
          <w:marRight w:val="0"/>
          <w:marTop w:val="0"/>
          <w:marBottom w:val="60"/>
          <w:divBdr>
            <w:top w:val="none" w:sz="0" w:space="0" w:color="auto"/>
            <w:left w:val="none" w:sz="0" w:space="0" w:color="auto"/>
            <w:bottom w:val="none" w:sz="0" w:space="0" w:color="auto"/>
            <w:right w:val="none" w:sz="0" w:space="0" w:color="auto"/>
          </w:divBdr>
        </w:div>
        <w:div w:id="607808928">
          <w:marLeft w:val="1454"/>
          <w:marRight w:val="0"/>
          <w:marTop w:val="0"/>
          <w:marBottom w:val="60"/>
          <w:divBdr>
            <w:top w:val="none" w:sz="0" w:space="0" w:color="auto"/>
            <w:left w:val="none" w:sz="0" w:space="0" w:color="auto"/>
            <w:bottom w:val="none" w:sz="0" w:space="0" w:color="auto"/>
            <w:right w:val="none" w:sz="0" w:space="0" w:color="auto"/>
          </w:divBdr>
        </w:div>
        <w:div w:id="1530069563">
          <w:marLeft w:val="1454"/>
          <w:marRight w:val="0"/>
          <w:marTop w:val="0"/>
          <w:marBottom w:val="60"/>
          <w:divBdr>
            <w:top w:val="none" w:sz="0" w:space="0" w:color="auto"/>
            <w:left w:val="none" w:sz="0" w:space="0" w:color="auto"/>
            <w:bottom w:val="none" w:sz="0" w:space="0" w:color="auto"/>
            <w:right w:val="none" w:sz="0" w:space="0" w:color="auto"/>
          </w:divBdr>
        </w:div>
        <w:div w:id="1100443679">
          <w:marLeft w:val="821"/>
          <w:marRight w:val="0"/>
          <w:marTop w:val="200"/>
          <w:marBottom w:val="100"/>
          <w:divBdr>
            <w:top w:val="none" w:sz="0" w:space="0" w:color="auto"/>
            <w:left w:val="none" w:sz="0" w:space="0" w:color="auto"/>
            <w:bottom w:val="none" w:sz="0" w:space="0" w:color="auto"/>
            <w:right w:val="none" w:sz="0" w:space="0" w:color="auto"/>
          </w:divBdr>
        </w:div>
      </w:divsChild>
    </w:div>
    <w:div w:id="1968856308">
      <w:bodyDiv w:val="1"/>
      <w:marLeft w:val="0"/>
      <w:marRight w:val="0"/>
      <w:marTop w:val="0"/>
      <w:marBottom w:val="0"/>
      <w:divBdr>
        <w:top w:val="none" w:sz="0" w:space="0" w:color="auto"/>
        <w:left w:val="none" w:sz="0" w:space="0" w:color="auto"/>
        <w:bottom w:val="none" w:sz="0" w:space="0" w:color="auto"/>
        <w:right w:val="none" w:sz="0" w:space="0" w:color="auto"/>
      </w:divBdr>
    </w:div>
    <w:div w:id="2025088556">
      <w:bodyDiv w:val="1"/>
      <w:marLeft w:val="0"/>
      <w:marRight w:val="0"/>
      <w:marTop w:val="0"/>
      <w:marBottom w:val="0"/>
      <w:divBdr>
        <w:top w:val="none" w:sz="0" w:space="0" w:color="auto"/>
        <w:left w:val="none" w:sz="0" w:space="0" w:color="auto"/>
        <w:bottom w:val="none" w:sz="0" w:space="0" w:color="auto"/>
        <w:right w:val="none" w:sz="0" w:space="0" w:color="auto"/>
      </w:divBdr>
      <w:divsChild>
        <w:div w:id="1490557136">
          <w:marLeft w:val="547"/>
          <w:marRight w:val="0"/>
          <w:marTop w:val="0"/>
          <w:marBottom w:val="0"/>
          <w:divBdr>
            <w:top w:val="none" w:sz="0" w:space="0" w:color="auto"/>
            <w:left w:val="none" w:sz="0" w:space="0" w:color="auto"/>
            <w:bottom w:val="none" w:sz="0" w:space="0" w:color="auto"/>
            <w:right w:val="none" w:sz="0" w:space="0" w:color="auto"/>
          </w:divBdr>
        </w:div>
        <w:div w:id="2055890227">
          <w:marLeft w:val="547"/>
          <w:marRight w:val="0"/>
          <w:marTop w:val="0"/>
          <w:marBottom w:val="0"/>
          <w:divBdr>
            <w:top w:val="none" w:sz="0" w:space="0" w:color="auto"/>
            <w:left w:val="none" w:sz="0" w:space="0" w:color="auto"/>
            <w:bottom w:val="none" w:sz="0" w:space="0" w:color="auto"/>
            <w:right w:val="none" w:sz="0" w:space="0" w:color="auto"/>
          </w:divBdr>
        </w:div>
        <w:div w:id="352003149">
          <w:marLeft w:val="547"/>
          <w:marRight w:val="0"/>
          <w:marTop w:val="0"/>
          <w:marBottom w:val="0"/>
          <w:divBdr>
            <w:top w:val="none" w:sz="0" w:space="0" w:color="auto"/>
            <w:left w:val="none" w:sz="0" w:space="0" w:color="auto"/>
            <w:bottom w:val="none" w:sz="0" w:space="0" w:color="auto"/>
            <w:right w:val="none" w:sz="0" w:space="0" w:color="auto"/>
          </w:divBdr>
        </w:div>
        <w:div w:id="1879974336">
          <w:marLeft w:val="547"/>
          <w:marRight w:val="0"/>
          <w:marTop w:val="0"/>
          <w:marBottom w:val="0"/>
          <w:divBdr>
            <w:top w:val="none" w:sz="0" w:space="0" w:color="auto"/>
            <w:left w:val="none" w:sz="0" w:space="0" w:color="auto"/>
            <w:bottom w:val="none" w:sz="0" w:space="0" w:color="auto"/>
            <w:right w:val="none" w:sz="0" w:space="0" w:color="auto"/>
          </w:divBdr>
        </w:div>
        <w:div w:id="1834754806">
          <w:marLeft w:val="547"/>
          <w:marRight w:val="0"/>
          <w:marTop w:val="0"/>
          <w:marBottom w:val="0"/>
          <w:divBdr>
            <w:top w:val="none" w:sz="0" w:space="0" w:color="auto"/>
            <w:left w:val="none" w:sz="0" w:space="0" w:color="auto"/>
            <w:bottom w:val="none" w:sz="0" w:space="0" w:color="auto"/>
            <w:right w:val="none" w:sz="0" w:space="0" w:color="auto"/>
          </w:divBdr>
        </w:div>
        <w:div w:id="2079278027">
          <w:marLeft w:val="547"/>
          <w:marRight w:val="0"/>
          <w:marTop w:val="0"/>
          <w:marBottom w:val="0"/>
          <w:divBdr>
            <w:top w:val="none" w:sz="0" w:space="0" w:color="auto"/>
            <w:left w:val="none" w:sz="0" w:space="0" w:color="auto"/>
            <w:bottom w:val="none" w:sz="0" w:space="0" w:color="auto"/>
            <w:right w:val="none" w:sz="0" w:space="0" w:color="auto"/>
          </w:divBdr>
        </w:div>
        <w:div w:id="171380890">
          <w:marLeft w:val="547"/>
          <w:marRight w:val="0"/>
          <w:marTop w:val="0"/>
          <w:marBottom w:val="0"/>
          <w:divBdr>
            <w:top w:val="none" w:sz="0" w:space="0" w:color="auto"/>
            <w:left w:val="none" w:sz="0" w:space="0" w:color="auto"/>
            <w:bottom w:val="none" w:sz="0" w:space="0" w:color="auto"/>
            <w:right w:val="none" w:sz="0" w:space="0" w:color="auto"/>
          </w:divBdr>
        </w:div>
        <w:div w:id="1519194498">
          <w:marLeft w:val="547"/>
          <w:marRight w:val="0"/>
          <w:marTop w:val="0"/>
          <w:marBottom w:val="0"/>
          <w:divBdr>
            <w:top w:val="none" w:sz="0" w:space="0" w:color="auto"/>
            <w:left w:val="none" w:sz="0" w:space="0" w:color="auto"/>
            <w:bottom w:val="none" w:sz="0" w:space="0" w:color="auto"/>
            <w:right w:val="none" w:sz="0" w:space="0" w:color="auto"/>
          </w:divBdr>
        </w:div>
        <w:div w:id="882055686">
          <w:marLeft w:val="547"/>
          <w:marRight w:val="0"/>
          <w:marTop w:val="0"/>
          <w:marBottom w:val="0"/>
          <w:divBdr>
            <w:top w:val="none" w:sz="0" w:space="0" w:color="auto"/>
            <w:left w:val="none" w:sz="0" w:space="0" w:color="auto"/>
            <w:bottom w:val="none" w:sz="0" w:space="0" w:color="auto"/>
            <w:right w:val="none" w:sz="0" w:space="0" w:color="auto"/>
          </w:divBdr>
        </w:div>
      </w:divsChild>
    </w:div>
    <w:div w:id="2052417371">
      <w:bodyDiv w:val="1"/>
      <w:marLeft w:val="0"/>
      <w:marRight w:val="0"/>
      <w:marTop w:val="0"/>
      <w:marBottom w:val="0"/>
      <w:divBdr>
        <w:top w:val="none" w:sz="0" w:space="0" w:color="auto"/>
        <w:left w:val="none" w:sz="0" w:space="0" w:color="auto"/>
        <w:bottom w:val="none" w:sz="0" w:space="0" w:color="auto"/>
        <w:right w:val="none" w:sz="0" w:space="0" w:color="auto"/>
      </w:divBdr>
    </w:div>
    <w:div w:id="21241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ldbank.org/en/who-we-are/news/coronavirus-covid19" TargetMode="External"/><Relationship Id="rId18" Type="http://schemas.openxmlformats.org/officeDocument/2006/relationships/hyperlink" Target="http://www.oecd.org/coronavir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c.europa.eu/info/live-work-travel-eu/health/coronavirus-response_en" TargetMode="External"/><Relationship Id="rId7" Type="http://schemas.openxmlformats.org/officeDocument/2006/relationships/styles" Target="styles.xml"/><Relationship Id="rId12" Type="http://schemas.openxmlformats.org/officeDocument/2006/relationships/hyperlink" Target="https://www.worldbank.org/en/who-we-are/news/coronavirus-" TargetMode="External"/><Relationship Id="rId17" Type="http://schemas.openxmlformats.org/officeDocument/2006/relationships/hyperlink" Target="http://www.oecd.org/coronavir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mf.org/en/Topics/imf-and-covid19" TargetMode="External"/><Relationship Id="rId20" Type="http://schemas.openxmlformats.org/officeDocument/2006/relationships/hyperlink" Target="http://www.fiscaltransparency.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imf.org/en/Topics/imf-and-covid19/Policy-Responses-to-COVID-19" TargetMode="External"/><Relationship Id="rId23" Type="http://schemas.openxmlformats.org/officeDocument/2006/relationships/hyperlink" Target="https://www.consilium.europa.eu/en/press/press-releases/2020/03/30/covid-19-council-adopts-measures-for-immediate-release-of-fund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iscaltransparency.net/publish/fiscal-transparency-in-times-of-emergency-response-reflections-for-times-of-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logs.worldbank.org/climatechange/planning-economic-recovery-covid-19-coronavirus-sustainability-checklist-policymakers" TargetMode="External"/><Relationship Id="rId22" Type="http://schemas.openxmlformats.org/officeDocument/2006/relationships/hyperlink" Target="https://www.consilium.europa.eu/en/press/press-releases/2020/03/30/covid-19-council-adopts-measures-for-immediate-release-of-fun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0688C-F050-4C2F-9FD4-E2268C11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934DA-C88C-4FEA-BEA1-84BDF2A673D8}">
  <ds:schemaRefs>
    <ds:schemaRef ds:uri="http://schemas.microsoft.com/sharepoint/v3/contenttype/forms"/>
  </ds:schemaRefs>
</ds:datastoreItem>
</file>

<file path=customXml/itemProps4.xml><?xml version="1.0" encoding="utf-8"?>
<ds:datastoreItem xmlns:ds="http://schemas.openxmlformats.org/officeDocument/2006/customXml" ds:itemID="{6518E626-DAC5-43A8-AF7C-28D913409FC5}">
  <ds:schemaRef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60c75bb3-2e3f-4394-b4f4-3e2677e21dfa"/>
    <ds:schemaRef ds:uri="http://schemas.microsoft.com/office/infopath/2007/PartnerControls"/>
    <ds:schemaRef ds:uri="9c83b91e-5ffe-420f-9ed1-9dac5903eaec"/>
  </ds:schemaRefs>
</ds:datastoreItem>
</file>

<file path=customXml/itemProps5.xml><?xml version="1.0" encoding="utf-8"?>
<ds:datastoreItem xmlns:ds="http://schemas.openxmlformats.org/officeDocument/2006/customXml" ds:itemID="{81C3038D-0814-4606-94C3-29C9C081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4405</Words>
  <Characters>25112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PEMPAL BCOP Working Group meetings</vt:lpstr>
    </vt:vector>
  </TitlesOfParts>
  <Manager/>
  <Company>World Bank</Company>
  <LinksUpToDate>false</LinksUpToDate>
  <CharactersWithSpaces>29459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BCOP Working Group meetings</dc:title>
  <dc:subject/>
  <dc:creator>Deanna Aubrey</dc:creator>
  <cp:keywords/>
  <dc:description/>
  <cp:lastModifiedBy>Ksenia Malafeeva</cp:lastModifiedBy>
  <cp:revision>2</cp:revision>
  <cp:lastPrinted>2019-11-08T13:40:00Z</cp:lastPrinted>
  <dcterms:created xsi:type="dcterms:W3CDTF">2020-05-11T07:24:00Z</dcterms:created>
  <dcterms:modified xsi:type="dcterms:W3CDTF">2020-05-11T07:24:00Z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ContentTypeId">
    <vt:lpwstr>0x010100FD604C3B73AE9943B737720A48E3AF7C</vt:lpwstr>
  </property>
</Properties>
</file>