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D0711" w14:textId="77777777" w:rsidR="0086376D" w:rsidRDefault="0086376D" w:rsidP="0086376D">
      <w:pPr>
        <w:pStyle w:val="Title"/>
        <w:jc w:val="center"/>
      </w:pPr>
      <w:bookmarkStart w:id="0" w:name="_Toc8248179"/>
      <w:r w:rsidRPr="0006149B">
        <w:t xml:space="preserve">PEMPAL </w:t>
      </w:r>
      <w:r w:rsidR="00D601DA">
        <w:t>GLOSSary OF terms relating to INTERNAL CONTROL</w:t>
      </w:r>
      <w:r>
        <w:t xml:space="preserve"> </w:t>
      </w:r>
    </w:p>
    <w:p w14:paraId="69C4DA29" w14:textId="77777777" w:rsidR="0086376D" w:rsidRPr="000B7FD9" w:rsidRDefault="0086376D" w:rsidP="0086376D"/>
    <w:p w14:paraId="3FF23F92" w14:textId="77777777" w:rsidR="0086376D" w:rsidRDefault="0086376D" w:rsidP="0086376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86376D" w14:paraId="2BB182D6" w14:textId="77777777" w:rsidTr="007942CC">
        <w:tc>
          <w:tcPr>
            <w:tcW w:w="8630" w:type="dxa"/>
          </w:tcPr>
          <w:p w14:paraId="4B7D945D" w14:textId="77777777" w:rsidR="0086376D" w:rsidRDefault="0086376D" w:rsidP="007942CC">
            <w:pPr>
              <w:tabs>
                <w:tab w:val="right" w:pos="8090"/>
              </w:tabs>
              <w:ind w:left="791"/>
            </w:pPr>
            <w:r>
              <w:tab/>
            </w:r>
          </w:p>
        </w:tc>
      </w:tr>
    </w:tbl>
    <w:p w14:paraId="53F5176B" w14:textId="77777777" w:rsidR="006524E0" w:rsidRPr="006524E0" w:rsidRDefault="006524E0" w:rsidP="006524E0"/>
    <w:p w14:paraId="7C904F3D" w14:textId="77777777" w:rsidR="0086376D" w:rsidRDefault="006524E0" w:rsidP="0086376D">
      <w:pPr>
        <w:rPr>
          <w:caps/>
          <w:spacing w:val="15"/>
          <w:sz w:val="22"/>
          <w:szCs w:val="22"/>
        </w:rPr>
      </w:pPr>
      <w:r w:rsidRPr="006524E0">
        <w:rPr>
          <w:noProof/>
          <w:lang w:val="ru-RU" w:eastAsia="ru-RU"/>
        </w:rPr>
        <w:drawing>
          <wp:inline distT="0" distB="0" distL="0" distR="0" wp14:anchorId="6A5AD8C8" wp14:editId="3A3B56EF">
            <wp:extent cx="6308561" cy="2713996"/>
            <wp:effectExtent l="0" t="393700" r="0" b="397510"/>
            <wp:docPr id="1" name="Picture 1" descr="/var/folders/b8/63jg9vb13z9fllv8v8wq9rm40000gp/T/com.microsoft.Word/WebArchiveCopyPasteTempFiles/defini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b8/63jg9vb13z9fllv8v8wq9rm40000gp/T/com.microsoft.Word/WebArchiveCopyPasteTempFiles/definition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3368" cy="2720366"/>
                    </a:xfrm>
                    <a:prstGeom prst="rect">
                      <a:avLst/>
                    </a:prstGeom>
                    <a:ln>
                      <a:noFill/>
                    </a:ln>
                    <a:effectLst/>
                    <a:scene3d>
                      <a:camera prst="isometricOffAxis1Right"/>
                      <a:lightRig rig="threePt" dir="t"/>
                    </a:scene3d>
                  </pic:spPr>
                </pic:pic>
              </a:graphicData>
            </a:graphic>
          </wp:inline>
        </w:drawing>
      </w:r>
    </w:p>
    <w:p w14:paraId="473CE287" w14:textId="77777777" w:rsidR="0086376D" w:rsidRDefault="0086376D" w:rsidP="0086376D">
      <w:r>
        <w:br w:type="page"/>
      </w:r>
    </w:p>
    <w:p w14:paraId="05CB2931" w14:textId="77777777" w:rsidR="0086376D" w:rsidRDefault="0086376D" w:rsidP="0086376D">
      <w:pPr>
        <w:rPr>
          <w:rFonts w:ascii="Arial" w:hAnsi="Arial" w:cs="Arial"/>
          <w:color w:val="1F497D"/>
        </w:rPr>
      </w:pPr>
    </w:p>
    <w:p w14:paraId="5DF7EF9A" w14:textId="77777777" w:rsidR="0086376D" w:rsidRDefault="0086376D" w:rsidP="0086376D">
      <w:pPr>
        <w:rPr>
          <w:rFonts w:ascii="Arial" w:hAnsi="Arial" w:cs="Arial"/>
          <w:color w:val="1F497D"/>
        </w:rPr>
      </w:pPr>
    </w:p>
    <w:p w14:paraId="0BAFC6A2" w14:textId="77777777" w:rsidR="0086376D" w:rsidRDefault="0086376D" w:rsidP="0086376D">
      <w:pPr>
        <w:rPr>
          <w:rFonts w:ascii="Arial" w:hAnsi="Arial" w:cs="Arial"/>
          <w:color w:val="1F497D"/>
        </w:rPr>
      </w:pPr>
    </w:p>
    <w:p w14:paraId="7163E69A" w14:textId="77777777" w:rsidR="0086376D" w:rsidRDefault="0086376D" w:rsidP="0086376D">
      <w:pPr>
        <w:rPr>
          <w:rFonts w:ascii="Arial" w:hAnsi="Arial" w:cs="Arial"/>
          <w:color w:val="1F497D"/>
        </w:rPr>
      </w:pPr>
    </w:p>
    <w:p w14:paraId="2092932A" w14:textId="77777777" w:rsidR="0086376D" w:rsidRDefault="0086376D" w:rsidP="0086376D">
      <w:pPr>
        <w:rPr>
          <w:rFonts w:ascii="Arial" w:hAnsi="Arial" w:cs="Arial"/>
          <w:color w:val="1F497D"/>
        </w:rPr>
      </w:pPr>
    </w:p>
    <w:p w14:paraId="3224776B" w14:textId="77777777" w:rsidR="0086376D" w:rsidRDefault="0086376D" w:rsidP="0086376D">
      <w:pPr>
        <w:rPr>
          <w:rFonts w:ascii="Arial" w:hAnsi="Arial" w:cs="Arial"/>
          <w:color w:val="1F497D"/>
        </w:rPr>
      </w:pPr>
    </w:p>
    <w:p w14:paraId="3C061073" w14:textId="77777777" w:rsidR="0086376D" w:rsidRDefault="0086376D" w:rsidP="0086376D">
      <w:pPr>
        <w:rPr>
          <w:rFonts w:ascii="Arial" w:hAnsi="Arial" w:cs="Arial"/>
          <w:color w:val="1F497D"/>
        </w:rPr>
      </w:pPr>
    </w:p>
    <w:p w14:paraId="4FB1D7AE" w14:textId="77777777" w:rsidR="0086376D" w:rsidRDefault="0086376D" w:rsidP="0086376D">
      <w:pPr>
        <w:rPr>
          <w:rFonts w:ascii="Arial" w:hAnsi="Arial" w:cs="Arial"/>
          <w:color w:val="1F497D"/>
        </w:rPr>
      </w:pPr>
    </w:p>
    <w:p w14:paraId="74AC081F" w14:textId="77777777" w:rsidR="0086376D" w:rsidRDefault="0086376D" w:rsidP="0086376D">
      <w:pPr>
        <w:rPr>
          <w:rFonts w:ascii="Arial" w:hAnsi="Arial" w:cs="Arial"/>
          <w:color w:val="1F497D"/>
        </w:rPr>
      </w:pPr>
    </w:p>
    <w:p w14:paraId="06C08C45" w14:textId="77777777" w:rsidR="0086376D" w:rsidRDefault="0086376D" w:rsidP="0086376D">
      <w:pPr>
        <w:rPr>
          <w:rFonts w:ascii="Arial" w:hAnsi="Arial" w:cs="Arial"/>
          <w:color w:val="1F497D"/>
        </w:rPr>
      </w:pPr>
    </w:p>
    <w:p w14:paraId="23D1E20C" w14:textId="77777777" w:rsidR="0086376D" w:rsidRDefault="0086376D" w:rsidP="0086376D">
      <w:pPr>
        <w:rPr>
          <w:rFonts w:ascii="Arial" w:hAnsi="Arial" w:cs="Arial"/>
          <w:color w:val="1F497D"/>
        </w:rPr>
      </w:pPr>
    </w:p>
    <w:p w14:paraId="45D9BBED" w14:textId="77777777" w:rsidR="0086376D" w:rsidRDefault="0086376D" w:rsidP="0086376D">
      <w:pPr>
        <w:rPr>
          <w:rFonts w:ascii="Arial" w:hAnsi="Arial" w:cs="Arial"/>
          <w:color w:val="1F497D"/>
        </w:rPr>
      </w:pPr>
    </w:p>
    <w:p w14:paraId="4D0B5D92" w14:textId="77777777" w:rsidR="0086376D" w:rsidRDefault="0086376D" w:rsidP="0086376D">
      <w:pPr>
        <w:rPr>
          <w:rFonts w:ascii="Arial" w:hAnsi="Arial" w:cs="Arial"/>
          <w:color w:val="1F497D"/>
        </w:rPr>
      </w:pPr>
    </w:p>
    <w:p w14:paraId="48118826" w14:textId="77777777" w:rsidR="0086376D" w:rsidRDefault="0086376D" w:rsidP="0086376D">
      <w:pPr>
        <w:rPr>
          <w:rFonts w:ascii="Arial" w:hAnsi="Arial" w:cs="Arial"/>
          <w:color w:val="1F497D"/>
        </w:rPr>
      </w:pPr>
    </w:p>
    <w:p w14:paraId="63A0F909" w14:textId="77777777" w:rsidR="0086376D" w:rsidRDefault="0086376D" w:rsidP="0086376D">
      <w:pPr>
        <w:rPr>
          <w:rFonts w:ascii="Arial" w:hAnsi="Arial" w:cs="Arial"/>
          <w:color w:val="1F497D"/>
        </w:rPr>
      </w:pPr>
    </w:p>
    <w:p w14:paraId="317EC94E" w14:textId="77777777" w:rsidR="0086376D" w:rsidRDefault="0086376D" w:rsidP="0086376D">
      <w:pPr>
        <w:rPr>
          <w:rFonts w:ascii="Arial" w:hAnsi="Arial" w:cs="Arial"/>
          <w:color w:val="1F497D"/>
        </w:rPr>
      </w:pPr>
    </w:p>
    <w:p w14:paraId="67FD728D" w14:textId="77777777" w:rsidR="0086376D" w:rsidRDefault="0086376D" w:rsidP="0086376D">
      <w:pPr>
        <w:rPr>
          <w:rFonts w:ascii="Arial" w:hAnsi="Arial" w:cs="Arial"/>
          <w:color w:val="1F497D"/>
        </w:rPr>
      </w:pPr>
    </w:p>
    <w:p w14:paraId="0120746D" w14:textId="77777777" w:rsidR="0086376D" w:rsidRDefault="0086376D" w:rsidP="0086376D">
      <w:pPr>
        <w:rPr>
          <w:rFonts w:ascii="Arial" w:hAnsi="Arial" w:cs="Arial"/>
          <w:color w:val="1F497D"/>
        </w:rPr>
      </w:pPr>
    </w:p>
    <w:p w14:paraId="551F2DF9" w14:textId="77777777" w:rsidR="0086376D" w:rsidRDefault="0086376D" w:rsidP="0086376D">
      <w:pPr>
        <w:rPr>
          <w:rFonts w:ascii="Arial" w:hAnsi="Arial" w:cs="Arial"/>
          <w:color w:val="1F497D"/>
        </w:rPr>
      </w:pPr>
    </w:p>
    <w:p w14:paraId="28338206" w14:textId="77777777" w:rsidR="0086376D" w:rsidRDefault="0086376D" w:rsidP="0086376D">
      <w:pPr>
        <w:rPr>
          <w:rFonts w:ascii="Arial" w:hAnsi="Arial" w:cs="Arial"/>
          <w:color w:val="1F497D"/>
        </w:rPr>
      </w:pPr>
    </w:p>
    <w:p w14:paraId="5B0FF9F1" w14:textId="77777777" w:rsidR="0086376D" w:rsidRDefault="0086376D" w:rsidP="0086376D">
      <w:pPr>
        <w:rPr>
          <w:rFonts w:ascii="Arial" w:hAnsi="Arial" w:cs="Arial"/>
          <w:color w:val="1F497D"/>
        </w:rPr>
      </w:pPr>
    </w:p>
    <w:p w14:paraId="0EF4839F" w14:textId="77777777" w:rsidR="0086376D" w:rsidRDefault="0086376D" w:rsidP="0086376D">
      <w:pPr>
        <w:rPr>
          <w:rFonts w:ascii="Arial" w:hAnsi="Arial" w:cs="Arial"/>
          <w:color w:val="1F497D"/>
        </w:rPr>
      </w:pPr>
    </w:p>
    <w:p w14:paraId="556A21E8" w14:textId="77777777" w:rsidR="0086376D" w:rsidRDefault="0086376D" w:rsidP="0086376D">
      <w:pPr>
        <w:rPr>
          <w:rFonts w:ascii="Arial" w:hAnsi="Arial" w:cs="Arial"/>
          <w:color w:val="1F497D"/>
        </w:rPr>
      </w:pPr>
    </w:p>
    <w:p w14:paraId="63A3B57E" w14:textId="77777777" w:rsidR="0086376D" w:rsidRPr="00813904" w:rsidRDefault="0086376D" w:rsidP="0086376D">
      <w:pPr>
        <w:rPr>
          <w:rFonts w:ascii="Arial" w:hAnsi="Arial" w:cs="Arial"/>
          <w:color w:val="1F497D"/>
        </w:rPr>
      </w:pPr>
      <w:r w:rsidRPr="00813904">
        <w:rPr>
          <w:rFonts w:ascii="Arial" w:hAnsi="Arial" w:cs="Arial"/>
          <w:color w:val="1F497D"/>
        </w:rPr>
        <w:t>Copyright © 201</w:t>
      </w:r>
      <w:r>
        <w:rPr>
          <w:rFonts w:ascii="Arial" w:hAnsi="Arial" w:cs="Arial"/>
          <w:color w:val="1F497D"/>
        </w:rPr>
        <w:t>9</w:t>
      </w:r>
      <w:r w:rsidRPr="00813904">
        <w:rPr>
          <w:rFonts w:ascii="Arial" w:hAnsi="Arial" w:cs="Arial"/>
          <w:color w:val="1F497D"/>
        </w:rPr>
        <w:t xml:space="preserve"> PEMPAL</w:t>
      </w:r>
      <w:r>
        <w:rPr>
          <w:rFonts w:ascii="Arial" w:hAnsi="Arial" w:cs="Arial"/>
          <w:color w:val="1F497D"/>
        </w:rPr>
        <w:t xml:space="preserve"> IACOP</w:t>
      </w:r>
    </w:p>
    <w:p w14:paraId="1A76986A" w14:textId="77777777" w:rsidR="0086376D" w:rsidRPr="00813904" w:rsidRDefault="0086376D" w:rsidP="0086376D">
      <w:pPr>
        <w:rPr>
          <w:rFonts w:ascii="Arial" w:hAnsi="Arial" w:cs="Arial"/>
          <w:color w:val="1F497D"/>
        </w:rPr>
      </w:pPr>
    </w:p>
    <w:p w14:paraId="52C1D4BA" w14:textId="77777777" w:rsidR="0086376D" w:rsidRDefault="0086376D" w:rsidP="0086376D">
      <w:pPr>
        <w:rPr>
          <w:rFonts w:ascii="Arial" w:hAnsi="Arial" w:cs="Arial"/>
          <w:color w:val="1F497D"/>
        </w:rPr>
      </w:pPr>
      <w:r w:rsidRPr="00813904">
        <w:rPr>
          <w:rFonts w:ascii="Arial" w:hAnsi="Arial" w:cs="Arial"/>
          <w:color w:val="1F497D"/>
        </w:rPr>
        <w:t>All rights reserved. No part of this publication may be reproduced, transmitted, or distributed in any form without prior written permission from PEMPAL</w:t>
      </w:r>
      <w:r>
        <w:rPr>
          <w:rFonts w:ascii="Arial" w:hAnsi="Arial" w:cs="Arial"/>
          <w:color w:val="1F497D"/>
        </w:rPr>
        <w:t xml:space="preserve"> IACOP</w:t>
      </w:r>
      <w:r w:rsidRPr="00813904">
        <w:rPr>
          <w:rFonts w:ascii="Arial" w:hAnsi="Arial" w:cs="Arial"/>
          <w:color w:val="1F497D"/>
        </w:rPr>
        <w:t>, except for noncommercial uses permitted by copyright law. Any modification to the criteria used in this publication requires a citation to the effect that this Guide was used and that the criteria herein were modified.</w:t>
      </w:r>
      <w:r>
        <w:rPr>
          <w:rFonts w:ascii="Arial" w:hAnsi="Arial" w:cs="Arial"/>
          <w:color w:val="1F497D"/>
        </w:rPr>
        <w:t xml:space="preserve"> Contact </w:t>
      </w:r>
      <w:r w:rsidRPr="00CB20FC">
        <w:rPr>
          <w:rFonts w:ascii="Arial" w:hAnsi="Arial" w:cs="Arial"/>
          <w:color w:val="1F497D"/>
          <w:u w:val="single"/>
        </w:rPr>
        <w:t>iacop@pempal.org</w:t>
      </w:r>
      <w:r>
        <w:rPr>
          <w:rFonts w:ascii="Arial" w:hAnsi="Arial" w:cs="Arial"/>
          <w:color w:val="1F497D"/>
          <w:u w:val="single"/>
        </w:rPr>
        <w:t>.</w:t>
      </w:r>
    </w:p>
    <w:p w14:paraId="710AC294" w14:textId="77777777" w:rsidR="0086376D" w:rsidRDefault="0086376D" w:rsidP="0086376D">
      <w:pPr>
        <w:rPr>
          <w:caps/>
          <w:spacing w:val="15"/>
          <w:sz w:val="22"/>
          <w:szCs w:val="22"/>
        </w:rPr>
      </w:pPr>
      <w:r>
        <w:rPr>
          <w:caps/>
          <w:spacing w:val="15"/>
          <w:sz w:val="22"/>
          <w:szCs w:val="22"/>
        </w:rPr>
        <w:br w:type="page"/>
      </w:r>
    </w:p>
    <w:p w14:paraId="44D78DE5" w14:textId="77777777" w:rsidR="0086376D" w:rsidRDefault="0086376D" w:rsidP="0086376D">
      <w:pPr>
        <w:rPr>
          <w:caps/>
          <w:spacing w:val="15"/>
          <w:sz w:val="22"/>
          <w:szCs w:val="22"/>
        </w:rPr>
      </w:pPr>
    </w:p>
    <w:p w14:paraId="1C6B53D9" w14:textId="77777777" w:rsidR="0086376D" w:rsidRPr="00A72951" w:rsidRDefault="0086376D" w:rsidP="006524E0">
      <w:pPr>
        <w:pStyle w:val="Heading1"/>
      </w:pPr>
      <w:bookmarkStart w:id="1" w:name="_Toc2767511"/>
      <w:r w:rsidRPr="002172AA">
        <w:t>Preface</w:t>
      </w:r>
      <w:bookmarkEnd w:id="1"/>
    </w:p>
    <w:p w14:paraId="5C7C7483" w14:textId="77777777" w:rsidR="0086376D" w:rsidRPr="0059441C" w:rsidRDefault="0086376D" w:rsidP="0086376D">
      <w:pPr>
        <w:spacing w:before="100" w:beforeAutospacing="1" w:after="100" w:afterAutospacing="1"/>
        <w:jc w:val="both"/>
        <w:rPr>
          <w:rFonts w:ascii="Arial" w:hAnsi="Arial"/>
        </w:rPr>
      </w:pPr>
      <w:r w:rsidRPr="008C4C8C">
        <w:rPr>
          <w:rFonts w:ascii="Arial" w:hAnsi="Arial"/>
        </w:rPr>
        <w:t xml:space="preserve">This </w:t>
      </w:r>
      <w:r w:rsidR="006524E0">
        <w:rPr>
          <w:rFonts w:ascii="Arial" w:hAnsi="Arial"/>
        </w:rPr>
        <w:t>glossary</w:t>
      </w:r>
      <w:r w:rsidRPr="008C4C8C">
        <w:rPr>
          <w:rFonts w:ascii="Arial" w:hAnsi="Arial"/>
        </w:rPr>
        <w:t xml:space="preserve"> is a product of knowledge sharing and collaboration among members of the Internal Audit Community of Practice (IACOP), of the Public Expenditure Management Peer-Assisted Learning (PEMPAL) network.</w:t>
      </w:r>
    </w:p>
    <w:p w14:paraId="2D8EA6C6" w14:textId="77777777" w:rsidR="0086376D" w:rsidRDefault="0086376D" w:rsidP="0086376D">
      <w:pPr>
        <w:spacing w:before="100" w:beforeAutospacing="1" w:after="100" w:afterAutospacing="1"/>
        <w:jc w:val="both"/>
        <w:rPr>
          <w:rFonts w:ascii="Arial" w:hAnsi="Arial"/>
        </w:rPr>
      </w:pPr>
      <w:r w:rsidRPr="008C4C8C">
        <w:rPr>
          <w:rFonts w:ascii="Arial" w:hAnsi="Arial"/>
        </w:rPr>
        <w:t>The PEMPAL network, launched in 2006 with the assistance of the World Bank, is a regional body that aims to support reforms in public expenditure and financial management in 21 countries in Central Asia and Central and Eastern Europe by promoting capacity building and exchange of information. The IACOP, one of the three Communities of Practice around which the network is organized, has representatives from 23 countries of the Europe and Central Asia region.</w:t>
      </w:r>
      <w:r>
        <w:rPr>
          <w:rFonts w:ascii="Arial" w:hAnsi="Arial"/>
        </w:rPr>
        <w:t xml:space="preserve"> </w:t>
      </w:r>
      <w:r w:rsidRPr="008C4C8C">
        <w:rPr>
          <w:rFonts w:ascii="Arial" w:hAnsi="Arial"/>
        </w:rPr>
        <w:t xml:space="preserve">The goal of the IACOP is </w:t>
      </w:r>
      <w:r w:rsidRPr="0059441C">
        <w:rPr>
          <w:rFonts w:ascii="Arial" w:hAnsi="Arial"/>
        </w:rPr>
        <w:t>“to</w:t>
      </w:r>
      <w:r w:rsidRPr="008C4C8C">
        <w:rPr>
          <w:rFonts w:ascii="Arial" w:hAnsi="Arial"/>
        </w:rPr>
        <w:t xml:space="preserve"> contribute to improved public financial management systems by supporting its members to establish a modern and effective internal audit service in their governments that meets international and European Union standards and facilitates good governance in the public sector.”</w:t>
      </w:r>
      <w:r>
        <w:rPr>
          <w:rStyle w:val="FootnoteReference"/>
          <w:rFonts w:ascii="Arial" w:hAnsi="Arial"/>
        </w:rPr>
        <w:footnoteReference w:id="1"/>
      </w:r>
      <w:r w:rsidRPr="008C4C8C">
        <w:rPr>
          <w:rFonts w:ascii="Arial" w:hAnsi="Arial"/>
        </w:rPr>
        <w:t xml:space="preserve"> </w:t>
      </w:r>
    </w:p>
    <w:p w14:paraId="54A0C3F5" w14:textId="2C06F176" w:rsidR="00051791" w:rsidRPr="00051791" w:rsidRDefault="00050A88" w:rsidP="00051791">
      <w:pPr>
        <w:spacing w:before="100" w:beforeAutospacing="1" w:after="100" w:afterAutospacing="1"/>
        <w:jc w:val="both"/>
        <w:rPr>
          <w:rFonts w:ascii="Arial" w:eastAsiaTheme="minorEastAsia" w:hAnsi="Arial" w:cstheme="minorBidi"/>
          <w:lang w:eastAsia="fr-FR"/>
        </w:rPr>
      </w:pPr>
      <w:r>
        <w:rPr>
          <w:rFonts w:ascii="Arial" w:hAnsi="Arial"/>
        </w:rPr>
        <w:t>The Inter</w:t>
      </w:r>
      <w:r w:rsidR="00051791">
        <w:rPr>
          <w:rFonts w:ascii="Arial" w:hAnsi="Arial"/>
        </w:rPr>
        <w:t xml:space="preserve">nal control Working Group </w:t>
      </w:r>
      <w:r w:rsidR="00051791">
        <w:rPr>
          <w:rFonts w:ascii="Arial" w:eastAsiaTheme="minorEastAsia" w:hAnsi="Arial" w:cstheme="minorBidi"/>
          <w:lang w:eastAsia="fr-FR"/>
        </w:rPr>
        <w:t xml:space="preserve">decided to produce a glossary of terms relating to Internal Control </w:t>
      </w:r>
      <w:r w:rsidR="00051791" w:rsidRPr="00051791">
        <w:rPr>
          <w:rFonts w:ascii="Arial" w:eastAsiaTheme="minorEastAsia" w:hAnsi="Arial" w:cstheme="minorBidi"/>
          <w:lang w:eastAsia="fr-FR"/>
        </w:rPr>
        <w:t xml:space="preserve">primarily </w:t>
      </w:r>
      <w:r w:rsidR="00051791">
        <w:rPr>
          <w:rFonts w:ascii="Arial" w:eastAsiaTheme="minorEastAsia" w:hAnsi="Arial" w:cstheme="minorBidi"/>
          <w:lang w:eastAsia="fr-FR"/>
        </w:rPr>
        <w:t xml:space="preserve">for use </w:t>
      </w:r>
      <w:r w:rsidR="00051791" w:rsidRPr="00051791">
        <w:rPr>
          <w:rFonts w:ascii="Arial" w:eastAsiaTheme="minorEastAsia" w:hAnsi="Arial" w:cstheme="minorBidi"/>
          <w:lang w:eastAsia="fr-FR"/>
        </w:rPr>
        <w:t xml:space="preserve">by </w:t>
      </w:r>
      <w:r w:rsidR="00051791">
        <w:rPr>
          <w:rFonts w:ascii="Arial" w:eastAsiaTheme="minorEastAsia" w:hAnsi="Arial" w:cstheme="minorBidi"/>
          <w:lang w:eastAsia="fr-FR"/>
        </w:rPr>
        <w:t xml:space="preserve">Central Harmonization Units </w:t>
      </w:r>
      <w:r w:rsidR="00051791" w:rsidRPr="00051791">
        <w:rPr>
          <w:rFonts w:ascii="Arial" w:eastAsiaTheme="minorEastAsia" w:hAnsi="Arial" w:cstheme="minorBidi"/>
          <w:lang w:eastAsia="fr-FR"/>
        </w:rPr>
        <w:t xml:space="preserve">and internal auditors to </w:t>
      </w:r>
      <w:r w:rsidR="00051791">
        <w:rPr>
          <w:rFonts w:ascii="Arial" w:eastAsiaTheme="minorEastAsia" w:hAnsi="Arial" w:cstheme="minorBidi"/>
          <w:lang w:eastAsia="fr-FR"/>
        </w:rPr>
        <w:t>promote a</w:t>
      </w:r>
      <w:r w:rsidR="00051791" w:rsidRPr="00051791">
        <w:rPr>
          <w:rFonts w:ascii="Arial" w:eastAsiaTheme="minorEastAsia" w:hAnsi="Arial" w:cstheme="minorBidi"/>
          <w:lang w:eastAsia="fr-FR"/>
        </w:rPr>
        <w:t xml:space="preserve"> consistent understanding of the key </w:t>
      </w:r>
      <w:r w:rsidR="00051791">
        <w:rPr>
          <w:rFonts w:ascii="Arial" w:eastAsiaTheme="minorEastAsia" w:hAnsi="Arial" w:cstheme="minorBidi"/>
          <w:lang w:eastAsia="fr-FR"/>
        </w:rPr>
        <w:t>internal control</w:t>
      </w:r>
      <w:r w:rsidR="00051791" w:rsidRPr="00051791">
        <w:rPr>
          <w:rFonts w:ascii="Arial" w:eastAsiaTheme="minorEastAsia" w:hAnsi="Arial" w:cstheme="minorBidi"/>
          <w:lang w:eastAsia="fr-FR"/>
        </w:rPr>
        <w:t xml:space="preserve"> terms. </w:t>
      </w:r>
      <w:r w:rsidR="00050054">
        <w:rPr>
          <w:rFonts w:ascii="Arial" w:eastAsiaTheme="minorEastAsia" w:hAnsi="Arial" w:cstheme="minorBidi"/>
          <w:lang w:eastAsia="fr-FR"/>
        </w:rPr>
        <w:t xml:space="preserve">Note that this glossary focuses on Internal Control rather than Internal Audit terms.  </w:t>
      </w:r>
    </w:p>
    <w:p w14:paraId="368A7987" w14:textId="77777777" w:rsidR="0086376D" w:rsidRPr="0059441C" w:rsidRDefault="0086376D" w:rsidP="0086376D">
      <w:pPr>
        <w:spacing w:before="100" w:beforeAutospacing="1" w:after="100" w:afterAutospacing="1"/>
        <w:jc w:val="both"/>
        <w:rPr>
          <w:rFonts w:ascii="Arial" w:hAnsi="Arial"/>
        </w:rPr>
      </w:pPr>
      <w:r w:rsidRPr="008C4C8C">
        <w:rPr>
          <w:rFonts w:ascii="Arial" w:hAnsi="Arial"/>
        </w:rPr>
        <w:t>This publication</w:t>
      </w:r>
      <w:r>
        <w:rPr>
          <w:rFonts w:ascii="Arial" w:hAnsi="Arial"/>
        </w:rPr>
        <w:t xml:space="preserve"> is the latest in a series of IACOP </w:t>
      </w:r>
      <w:r w:rsidRPr="007C7087">
        <w:rPr>
          <w:rFonts w:ascii="Arial" w:hAnsi="Arial"/>
        </w:rPr>
        <w:t>Good Practice knowledge products</w:t>
      </w:r>
      <w:r>
        <w:rPr>
          <w:rFonts w:ascii="Arial" w:hAnsi="Arial"/>
        </w:rPr>
        <w:t xml:space="preserve"> </w:t>
      </w:r>
      <w:r w:rsidRPr="007C7087">
        <w:rPr>
          <w:rFonts w:ascii="Arial" w:hAnsi="Arial"/>
        </w:rPr>
        <w:t>developed by the community</w:t>
      </w:r>
      <w:r>
        <w:rPr>
          <w:rFonts w:ascii="Arial" w:hAnsi="Arial"/>
        </w:rPr>
        <w:t>. These include</w:t>
      </w:r>
      <w:r w:rsidRPr="007C7087">
        <w:rPr>
          <w:rFonts w:ascii="Arial" w:hAnsi="Arial"/>
        </w:rPr>
        <w:t xml:space="preserve"> </w:t>
      </w:r>
      <w:r>
        <w:rPr>
          <w:rFonts w:ascii="Arial" w:hAnsi="Arial"/>
        </w:rPr>
        <w:t>“</w:t>
      </w:r>
      <w:r w:rsidRPr="007C7087">
        <w:rPr>
          <w:rFonts w:ascii="Arial" w:hAnsi="Arial"/>
        </w:rPr>
        <w:t>Good Practice I</w:t>
      </w:r>
      <w:r>
        <w:rPr>
          <w:rFonts w:ascii="Arial" w:hAnsi="Arial"/>
        </w:rPr>
        <w:t xml:space="preserve">nternal </w:t>
      </w:r>
      <w:r w:rsidRPr="007C7087">
        <w:rPr>
          <w:rFonts w:ascii="Arial" w:hAnsi="Arial"/>
        </w:rPr>
        <w:t>A</w:t>
      </w:r>
      <w:r>
        <w:rPr>
          <w:rFonts w:ascii="Arial" w:hAnsi="Arial"/>
        </w:rPr>
        <w:t>udit</w:t>
      </w:r>
      <w:r w:rsidRPr="007C7087">
        <w:rPr>
          <w:rFonts w:ascii="Arial" w:hAnsi="Arial"/>
        </w:rPr>
        <w:t xml:space="preserve"> Manual Template</w:t>
      </w:r>
      <w:r>
        <w:rPr>
          <w:rFonts w:ascii="Arial" w:hAnsi="Arial"/>
        </w:rPr>
        <w:t>”;</w:t>
      </w:r>
      <w:r w:rsidRPr="007C7087">
        <w:rPr>
          <w:rFonts w:ascii="Arial" w:hAnsi="Arial"/>
        </w:rPr>
        <w:t xml:space="preserve"> </w:t>
      </w:r>
      <w:r>
        <w:rPr>
          <w:rFonts w:ascii="Arial" w:hAnsi="Arial"/>
        </w:rPr>
        <w:t>“</w:t>
      </w:r>
      <w:r w:rsidRPr="007C7087">
        <w:rPr>
          <w:rFonts w:ascii="Arial" w:hAnsi="Arial"/>
        </w:rPr>
        <w:t>Good Practice C</w:t>
      </w:r>
      <w:r>
        <w:rPr>
          <w:rFonts w:ascii="Arial" w:hAnsi="Arial"/>
        </w:rPr>
        <w:t xml:space="preserve">ontinuing </w:t>
      </w:r>
      <w:r w:rsidRPr="007C7087">
        <w:rPr>
          <w:rFonts w:ascii="Arial" w:hAnsi="Arial"/>
        </w:rPr>
        <w:t>P</w:t>
      </w:r>
      <w:r>
        <w:rPr>
          <w:rFonts w:ascii="Arial" w:hAnsi="Arial"/>
        </w:rPr>
        <w:t xml:space="preserve">rofessional </w:t>
      </w:r>
      <w:r w:rsidRPr="007C7087">
        <w:rPr>
          <w:rFonts w:ascii="Arial" w:hAnsi="Arial"/>
        </w:rPr>
        <w:t>D</w:t>
      </w:r>
      <w:r>
        <w:rPr>
          <w:rFonts w:ascii="Arial" w:hAnsi="Arial"/>
        </w:rPr>
        <w:t>evelopment</w:t>
      </w:r>
      <w:r w:rsidRPr="007C7087">
        <w:rPr>
          <w:rFonts w:ascii="Arial" w:hAnsi="Arial"/>
        </w:rPr>
        <w:t xml:space="preserve"> Manual Template</w:t>
      </w:r>
      <w:r>
        <w:rPr>
          <w:rFonts w:ascii="Arial" w:hAnsi="Arial"/>
        </w:rPr>
        <w:t>”;</w:t>
      </w:r>
      <w:r w:rsidRPr="007C7087">
        <w:rPr>
          <w:rFonts w:ascii="Arial" w:hAnsi="Arial"/>
        </w:rPr>
        <w:t xml:space="preserve"> </w:t>
      </w:r>
      <w:r>
        <w:rPr>
          <w:rFonts w:ascii="Arial" w:hAnsi="Arial"/>
        </w:rPr>
        <w:t>“</w:t>
      </w:r>
      <w:r w:rsidRPr="007C7087">
        <w:rPr>
          <w:rFonts w:ascii="Arial" w:hAnsi="Arial"/>
        </w:rPr>
        <w:t>Internal Audit Body of Knowledge</w:t>
      </w:r>
      <w:r>
        <w:rPr>
          <w:rFonts w:ascii="Arial" w:hAnsi="Arial"/>
        </w:rPr>
        <w:t>”;</w:t>
      </w:r>
      <w:r w:rsidRPr="007C7087">
        <w:rPr>
          <w:rFonts w:ascii="Arial" w:hAnsi="Arial"/>
        </w:rPr>
        <w:t xml:space="preserve"> </w:t>
      </w:r>
      <w:r>
        <w:rPr>
          <w:rFonts w:ascii="Arial" w:hAnsi="Arial"/>
        </w:rPr>
        <w:t>“</w:t>
      </w:r>
      <w:r w:rsidRPr="007C7087">
        <w:rPr>
          <w:rFonts w:ascii="Arial" w:hAnsi="Arial"/>
        </w:rPr>
        <w:t>Risk Assessment in Audit Planning</w:t>
      </w:r>
      <w:r>
        <w:rPr>
          <w:rFonts w:ascii="Arial" w:hAnsi="Arial"/>
        </w:rPr>
        <w:t>”; and</w:t>
      </w:r>
      <w:r w:rsidRPr="007C7087">
        <w:rPr>
          <w:rFonts w:ascii="Arial" w:hAnsi="Arial"/>
        </w:rPr>
        <w:t xml:space="preserve"> </w:t>
      </w:r>
      <w:r>
        <w:rPr>
          <w:rFonts w:ascii="Arial" w:hAnsi="Arial"/>
        </w:rPr>
        <w:t>“</w:t>
      </w:r>
      <w:r w:rsidRPr="007C7087">
        <w:rPr>
          <w:rFonts w:ascii="Arial" w:hAnsi="Arial"/>
        </w:rPr>
        <w:t>Quality Assessment Guide</w:t>
      </w:r>
      <w:r>
        <w:rPr>
          <w:rFonts w:ascii="Arial" w:hAnsi="Arial"/>
        </w:rPr>
        <w:t xml:space="preserve">”, all available from </w:t>
      </w:r>
      <w:hyperlink r:id="rId8" w:history="1">
        <w:r w:rsidRPr="005765CE">
          <w:rPr>
            <w:rStyle w:val="Hyperlink"/>
            <w:rFonts w:ascii="Arial" w:hAnsi="Arial"/>
          </w:rPr>
          <w:t>www.pempal.org</w:t>
        </w:r>
      </w:hyperlink>
      <w:r>
        <w:rPr>
          <w:rFonts w:ascii="Arial" w:hAnsi="Arial"/>
        </w:rPr>
        <w:t>. It reflects</w:t>
      </w:r>
      <w:r w:rsidRPr="007C7087">
        <w:rPr>
          <w:rFonts w:ascii="Arial" w:hAnsi="Arial"/>
        </w:rPr>
        <w:t xml:space="preserve"> </w:t>
      </w:r>
      <w:r w:rsidRPr="008C4C8C">
        <w:rPr>
          <w:rFonts w:ascii="Arial" w:hAnsi="Arial"/>
        </w:rPr>
        <w:t xml:space="preserve">an extensive collaborative process, which included participation </w:t>
      </w:r>
      <w:r>
        <w:rPr>
          <w:rFonts w:ascii="Arial" w:hAnsi="Arial"/>
        </w:rPr>
        <w:t>of</w:t>
      </w:r>
      <w:r w:rsidRPr="008C4C8C">
        <w:rPr>
          <w:rFonts w:ascii="Arial" w:hAnsi="Arial"/>
        </w:rPr>
        <w:t xml:space="preserve"> practitioners and policymakers</w:t>
      </w:r>
      <w:r>
        <w:rPr>
          <w:rFonts w:ascii="Arial" w:hAnsi="Arial"/>
        </w:rPr>
        <w:t xml:space="preserve"> in PEMPAL member countries</w:t>
      </w:r>
      <w:r w:rsidRPr="008C4C8C">
        <w:rPr>
          <w:rFonts w:ascii="Arial" w:hAnsi="Arial"/>
        </w:rPr>
        <w:t xml:space="preserve">. The IACOP hopes that users will find it valuable </w:t>
      </w:r>
      <w:r w:rsidR="007A6B39">
        <w:rPr>
          <w:rFonts w:ascii="Arial" w:hAnsi="Arial"/>
        </w:rPr>
        <w:t xml:space="preserve">in ensuring consistent application of key internal control terms. </w:t>
      </w:r>
    </w:p>
    <w:p w14:paraId="7964FC9E" w14:textId="77777777" w:rsidR="0086376D" w:rsidRPr="0059441C" w:rsidRDefault="003A0328" w:rsidP="0086376D">
      <w:pPr>
        <w:jc w:val="right"/>
        <w:rPr>
          <w:rFonts w:ascii="Arial" w:hAnsi="Arial"/>
        </w:rPr>
      </w:pPr>
      <w:r>
        <w:rPr>
          <w:rFonts w:ascii="Arial" w:hAnsi="Arial"/>
        </w:rPr>
        <w:t>June</w:t>
      </w:r>
      <w:r w:rsidR="0086376D">
        <w:rPr>
          <w:rFonts w:ascii="Arial" w:hAnsi="Arial"/>
        </w:rPr>
        <w:t xml:space="preserve"> 2019</w:t>
      </w:r>
    </w:p>
    <w:p w14:paraId="323C2BAA" w14:textId="77777777" w:rsidR="0086376D" w:rsidRDefault="0086376D" w:rsidP="000602D9"/>
    <w:p w14:paraId="4963F2BF" w14:textId="77777777" w:rsidR="000602D9" w:rsidRDefault="0086376D" w:rsidP="000602D9">
      <w:r>
        <w:br w:type="page"/>
      </w:r>
      <w:bookmarkStart w:id="2" w:name="_Toc293520337"/>
      <w:bookmarkStart w:id="3" w:name="_Toc295075578"/>
      <w:bookmarkStart w:id="4" w:name="_Toc2767512"/>
    </w:p>
    <w:p w14:paraId="1A6468FF" w14:textId="77777777" w:rsidR="000602D9" w:rsidRDefault="000602D9" w:rsidP="000602D9"/>
    <w:p w14:paraId="191CCFC9" w14:textId="77777777" w:rsidR="0086376D" w:rsidRPr="0059441C" w:rsidRDefault="0086376D" w:rsidP="000602D9">
      <w:pPr>
        <w:pStyle w:val="Heading1"/>
      </w:pPr>
      <w:r w:rsidRPr="000602D9">
        <w:t>Acknowledgements</w:t>
      </w:r>
      <w:bookmarkEnd w:id="2"/>
      <w:bookmarkEnd w:id="3"/>
      <w:bookmarkEnd w:id="4"/>
    </w:p>
    <w:p w14:paraId="015C2100" w14:textId="77777777" w:rsidR="0086376D" w:rsidRPr="0059441C" w:rsidRDefault="0086376D" w:rsidP="0086376D">
      <w:pPr>
        <w:spacing w:before="100" w:beforeAutospacing="1" w:after="100" w:afterAutospacing="1"/>
        <w:jc w:val="both"/>
        <w:rPr>
          <w:rFonts w:ascii="Arial" w:hAnsi="Arial"/>
        </w:rPr>
      </w:pPr>
      <w:r w:rsidRPr="008C4C8C">
        <w:rPr>
          <w:rFonts w:ascii="Arial" w:hAnsi="Arial"/>
        </w:rPr>
        <w:t>This guid</w:t>
      </w:r>
      <w:r>
        <w:rPr>
          <w:rFonts w:ascii="Arial" w:hAnsi="Arial"/>
        </w:rPr>
        <w:t>ance</w:t>
      </w:r>
      <w:r w:rsidRPr="008C4C8C">
        <w:rPr>
          <w:rFonts w:ascii="Arial" w:hAnsi="Arial"/>
        </w:rPr>
        <w:t xml:space="preserve"> </w:t>
      </w:r>
      <w:r>
        <w:rPr>
          <w:rFonts w:ascii="Arial" w:hAnsi="Arial"/>
        </w:rPr>
        <w:t>was made possible by</w:t>
      </w:r>
      <w:r w:rsidRPr="008C4C8C">
        <w:rPr>
          <w:rFonts w:ascii="Arial" w:hAnsi="Arial"/>
        </w:rPr>
        <w:t xml:space="preserve"> the </w:t>
      </w:r>
      <w:r>
        <w:rPr>
          <w:rFonts w:ascii="Arial" w:hAnsi="Arial"/>
        </w:rPr>
        <w:t>contributions of</w:t>
      </w:r>
      <w:r w:rsidRPr="008C4C8C">
        <w:rPr>
          <w:rFonts w:ascii="Arial" w:hAnsi="Arial"/>
        </w:rPr>
        <w:t xml:space="preserve"> IACOP </w:t>
      </w:r>
      <w:r>
        <w:rPr>
          <w:rFonts w:ascii="Arial" w:hAnsi="Arial"/>
        </w:rPr>
        <w:t>members</w:t>
      </w:r>
      <w:r w:rsidRPr="008C4C8C">
        <w:rPr>
          <w:rFonts w:ascii="Arial" w:hAnsi="Arial"/>
        </w:rPr>
        <w:t xml:space="preserve">.  </w:t>
      </w:r>
    </w:p>
    <w:p w14:paraId="466A9B59" w14:textId="77777777" w:rsidR="0086376D" w:rsidRPr="0059441C" w:rsidRDefault="0086376D" w:rsidP="0086376D">
      <w:pPr>
        <w:spacing w:before="100" w:beforeAutospacing="1" w:after="100" w:afterAutospacing="1"/>
        <w:jc w:val="both"/>
        <w:rPr>
          <w:rFonts w:ascii="Arial" w:hAnsi="Arial"/>
        </w:rPr>
      </w:pPr>
      <w:r w:rsidRPr="008C4C8C">
        <w:rPr>
          <w:rFonts w:ascii="Arial" w:hAnsi="Arial"/>
        </w:rPr>
        <w:t>Specifically, the IACOP would like to recognize the following key contributors:</w:t>
      </w:r>
    </w:p>
    <w:p w14:paraId="775894F5" w14:textId="77777777" w:rsidR="00050A88" w:rsidRDefault="00050A88" w:rsidP="00050A88">
      <w:pPr>
        <w:spacing w:before="100" w:beforeAutospacing="1" w:after="100" w:afterAutospacing="1"/>
        <w:ind w:left="708"/>
        <w:rPr>
          <w:rFonts w:ascii="Arial" w:hAnsi="Arial"/>
        </w:rPr>
      </w:pPr>
      <w:r w:rsidRPr="00050A88">
        <w:rPr>
          <w:rFonts w:ascii="Arial" w:hAnsi="Arial"/>
        </w:rPr>
        <w:t xml:space="preserve">Edgar </w:t>
      </w:r>
      <w:proofErr w:type="spellStart"/>
      <w:r w:rsidRPr="00050A88">
        <w:rPr>
          <w:rFonts w:ascii="Arial" w:hAnsi="Arial"/>
        </w:rPr>
        <w:t>Mkrtchyan</w:t>
      </w:r>
      <w:proofErr w:type="spellEnd"/>
      <w:r w:rsidRPr="00050A88">
        <w:rPr>
          <w:rFonts w:ascii="Arial" w:hAnsi="Arial"/>
        </w:rPr>
        <w:t>,</w:t>
      </w:r>
      <w:r>
        <w:rPr>
          <w:rFonts w:ascii="Arial" w:hAnsi="Arial"/>
        </w:rPr>
        <w:t xml:space="preserve"> </w:t>
      </w:r>
      <w:r w:rsidRPr="00050A88">
        <w:rPr>
          <w:rFonts w:ascii="Arial" w:hAnsi="Arial"/>
        </w:rPr>
        <w:t>Head of Financial Management and Control Divisio</w:t>
      </w:r>
      <w:r>
        <w:rPr>
          <w:rFonts w:ascii="Arial" w:hAnsi="Arial"/>
        </w:rPr>
        <w:t>n</w:t>
      </w:r>
      <w:r w:rsidRPr="00050A88">
        <w:rPr>
          <w:rFonts w:ascii="Arial" w:hAnsi="Arial"/>
        </w:rPr>
        <w:t xml:space="preserve"> of the Ministry of Finance of </w:t>
      </w:r>
      <w:r w:rsidR="00932E8D">
        <w:rPr>
          <w:rFonts w:ascii="Arial" w:hAnsi="Arial"/>
        </w:rPr>
        <w:t xml:space="preserve">the </w:t>
      </w:r>
      <w:r w:rsidRPr="00050A88">
        <w:rPr>
          <w:rFonts w:ascii="Arial" w:hAnsi="Arial"/>
        </w:rPr>
        <w:t>R</w:t>
      </w:r>
      <w:r w:rsidR="00932E8D">
        <w:rPr>
          <w:rFonts w:ascii="Arial" w:hAnsi="Arial"/>
        </w:rPr>
        <w:t xml:space="preserve">epublic of </w:t>
      </w:r>
      <w:r w:rsidRPr="00050A88">
        <w:rPr>
          <w:rFonts w:ascii="Arial" w:hAnsi="Arial"/>
        </w:rPr>
        <w:t>A</w:t>
      </w:r>
      <w:r w:rsidR="00932E8D">
        <w:rPr>
          <w:rFonts w:ascii="Arial" w:hAnsi="Arial"/>
        </w:rPr>
        <w:t>rmenia</w:t>
      </w:r>
    </w:p>
    <w:p w14:paraId="38D62FD7" w14:textId="1595FC5C" w:rsidR="007B7E09" w:rsidRPr="007B7E09" w:rsidRDefault="004D5C19" w:rsidP="007B7E09">
      <w:pPr>
        <w:spacing w:before="100" w:beforeAutospacing="1" w:after="100" w:afterAutospacing="1"/>
        <w:ind w:left="708"/>
        <w:rPr>
          <w:rFonts w:ascii="Arial" w:hAnsi="Arial"/>
        </w:rPr>
      </w:pPr>
      <w:proofErr w:type="spellStart"/>
      <w:r>
        <w:rPr>
          <w:rFonts w:ascii="Arial" w:hAnsi="Arial"/>
        </w:rPr>
        <w:t>Petru</w:t>
      </w:r>
      <w:proofErr w:type="spellEnd"/>
      <w:r>
        <w:rPr>
          <w:rFonts w:ascii="Arial" w:hAnsi="Arial"/>
        </w:rPr>
        <w:t xml:space="preserve"> </w:t>
      </w:r>
      <w:proofErr w:type="spellStart"/>
      <w:r>
        <w:rPr>
          <w:rFonts w:ascii="Arial" w:hAnsi="Arial"/>
        </w:rPr>
        <w:t>Babuci</w:t>
      </w:r>
      <w:proofErr w:type="spellEnd"/>
      <w:r w:rsidR="007B7E09">
        <w:rPr>
          <w:rFonts w:ascii="Arial" w:hAnsi="Arial"/>
        </w:rPr>
        <w:t xml:space="preserve">, </w:t>
      </w:r>
      <w:r w:rsidR="007B7E09" w:rsidRPr="007B7E09">
        <w:rPr>
          <w:rFonts w:ascii="Arial" w:hAnsi="Arial"/>
        </w:rPr>
        <w:t xml:space="preserve">Ministry of Finance, PIFC Policy Division, </w:t>
      </w:r>
      <w:r w:rsidR="007B7E09">
        <w:rPr>
          <w:rFonts w:ascii="Arial" w:hAnsi="Arial"/>
        </w:rPr>
        <w:t xml:space="preserve">Moldova, </w:t>
      </w:r>
      <w:r w:rsidR="007B7E09" w:rsidRPr="007B7E09">
        <w:rPr>
          <w:rFonts w:ascii="Arial" w:hAnsi="Arial"/>
        </w:rPr>
        <w:t>Consultant</w:t>
      </w:r>
    </w:p>
    <w:p w14:paraId="35ECA1AA" w14:textId="77777777" w:rsidR="007B7E09" w:rsidRPr="007B7E09" w:rsidRDefault="007B7E09" w:rsidP="007B7E09">
      <w:pPr>
        <w:spacing w:before="100" w:beforeAutospacing="1" w:after="100" w:afterAutospacing="1"/>
        <w:ind w:left="708"/>
        <w:rPr>
          <w:rFonts w:ascii="Arial" w:hAnsi="Arial"/>
        </w:rPr>
      </w:pPr>
      <w:proofErr w:type="spellStart"/>
      <w:proofErr w:type="gramStart"/>
      <w:r w:rsidRPr="007B7E09">
        <w:rPr>
          <w:rFonts w:ascii="Arial" w:hAnsi="Arial"/>
        </w:rPr>
        <w:t>Nodira</w:t>
      </w:r>
      <w:proofErr w:type="spellEnd"/>
      <w:r w:rsidRPr="007B7E09">
        <w:rPr>
          <w:rFonts w:ascii="Arial" w:hAnsi="Arial"/>
        </w:rPr>
        <w:t xml:space="preserve">  </w:t>
      </w:r>
      <w:proofErr w:type="spellStart"/>
      <w:r w:rsidRPr="007B7E09">
        <w:rPr>
          <w:rFonts w:ascii="Arial" w:hAnsi="Arial"/>
        </w:rPr>
        <w:t>Zikrillaeva</w:t>
      </w:r>
      <w:proofErr w:type="spellEnd"/>
      <w:proofErr w:type="gramEnd"/>
      <w:r w:rsidRPr="007B7E09">
        <w:rPr>
          <w:rFonts w:ascii="Arial" w:hAnsi="Arial"/>
        </w:rPr>
        <w:t xml:space="preserve"> UNDP, PCEAT, Project Leader</w:t>
      </w:r>
    </w:p>
    <w:p w14:paraId="193A182D" w14:textId="64036B16" w:rsidR="007B7E09" w:rsidRPr="007B7E09" w:rsidRDefault="0025374E" w:rsidP="007B7E09">
      <w:pPr>
        <w:spacing w:before="100" w:beforeAutospacing="1" w:after="100" w:afterAutospacing="1"/>
        <w:ind w:left="708"/>
        <w:rPr>
          <w:rFonts w:ascii="Arial" w:hAnsi="Arial"/>
        </w:rPr>
      </w:pPr>
      <w:r w:rsidRPr="0025374E">
        <w:rPr>
          <w:rFonts w:ascii="Arial" w:hAnsi="Arial"/>
        </w:rPr>
        <w:t xml:space="preserve">Alexey </w:t>
      </w:r>
      <w:proofErr w:type="spellStart"/>
      <w:r w:rsidRPr="0025374E">
        <w:rPr>
          <w:rFonts w:ascii="Arial" w:hAnsi="Arial"/>
        </w:rPr>
        <w:t>Kokarev</w:t>
      </w:r>
      <w:proofErr w:type="spellEnd"/>
      <w:r w:rsidRPr="0025374E">
        <w:rPr>
          <w:rFonts w:ascii="Arial" w:hAnsi="Arial"/>
        </w:rPr>
        <w:t>.</w:t>
      </w:r>
      <w:r w:rsidR="007B7E09">
        <w:rPr>
          <w:rFonts w:ascii="Arial" w:hAnsi="Arial"/>
        </w:rPr>
        <w:t xml:space="preserve"> </w:t>
      </w:r>
      <w:r w:rsidR="007B7E09" w:rsidRPr="007B7E09">
        <w:rPr>
          <w:rFonts w:ascii="Arial" w:hAnsi="Arial"/>
        </w:rPr>
        <w:t xml:space="preserve">The Ministry </w:t>
      </w:r>
      <w:r w:rsidR="007B7E09">
        <w:rPr>
          <w:rFonts w:ascii="Arial" w:hAnsi="Arial"/>
        </w:rPr>
        <w:t>o</w:t>
      </w:r>
      <w:r w:rsidR="007B7E09" w:rsidRPr="007B7E09">
        <w:rPr>
          <w:rFonts w:ascii="Arial" w:hAnsi="Arial"/>
        </w:rPr>
        <w:t xml:space="preserve">f Finance </w:t>
      </w:r>
      <w:r w:rsidR="007B7E09">
        <w:rPr>
          <w:rFonts w:ascii="Arial" w:hAnsi="Arial"/>
        </w:rPr>
        <w:t>o</w:t>
      </w:r>
      <w:r w:rsidR="007B7E09" w:rsidRPr="007B7E09">
        <w:rPr>
          <w:rFonts w:ascii="Arial" w:hAnsi="Arial"/>
        </w:rPr>
        <w:t xml:space="preserve">f </w:t>
      </w:r>
      <w:r w:rsidR="007B7E09">
        <w:rPr>
          <w:rFonts w:ascii="Arial" w:hAnsi="Arial"/>
        </w:rPr>
        <w:t>t</w:t>
      </w:r>
      <w:r w:rsidR="007B7E09" w:rsidRPr="007B7E09">
        <w:rPr>
          <w:rFonts w:ascii="Arial" w:hAnsi="Arial"/>
        </w:rPr>
        <w:t>he Russian Federation,</w:t>
      </w:r>
      <w:r w:rsidR="007B7E09">
        <w:rPr>
          <w:rFonts w:ascii="Arial" w:hAnsi="Arial"/>
        </w:rPr>
        <w:t xml:space="preserve"> </w:t>
      </w:r>
      <w:r w:rsidR="007B7E09" w:rsidRPr="007B7E09">
        <w:rPr>
          <w:rFonts w:ascii="Arial" w:hAnsi="Arial"/>
        </w:rPr>
        <w:t>expert </w:t>
      </w:r>
    </w:p>
    <w:p w14:paraId="2222584D" w14:textId="3C94333C" w:rsidR="0025374E" w:rsidRPr="0025374E" w:rsidRDefault="0025374E" w:rsidP="0025374E">
      <w:pPr>
        <w:spacing w:before="100" w:beforeAutospacing="1" w:after="100" w:afterAutospacing="1"/>
        <w:ind w:left="708"/>
        <w:rPr>
          <w:rFonts w:ascii="Arial" w:hAnsi="Arial"/>
        </w:rPr>
      </w:pPr>
      <w:proofErr w:type="spellStart"/>
      <w:r w:rsidRPr="0025374E">
        <w:rPr>
          <w:rFonts w:ascii="Arial" w:hAnsi="Arial"/>
        </w:rPr>
        <w:t>Giuli</w:t>
      </w:r>
      <w:proofErr w:type="spellEnd"/>
      <w:r w:rsidRPr="0025374E">
        <w:rPr>
          <w:rFonts w:ascii="Arial" w:hAnsi="Arial"/>
        </w:rPr>
        <w:t xml:space="preserve"> </w:t>
      </w:r>
      <w:proofErr w:type="spellStart"/>
      <w:r w:rsidRPr="0025374E">
        <w:rPr>
          <w:rFonts w:ascii="Arial" w:hAnsi="Arial"/>
        </w:rPr>
        <w:t>Chkuaseli</w:t>
      </w:r>
      <w:proofErr w:type="spellEnd"/>
      <w:r w:rsidRPr="0025374E">
        <w:rPr>
          <w:rFonts w:ascii="Arial" w:hAnsi="Arial"/>
        </w:rPr>
        <w:t xml:space="preserve">, Head of the Public Internal Control Department, Central </w:t>
      </w:r>
      <w:r w:rsidR="007B7E09" w:rsidRPr="0025374E">
        <w:rPr>
          <w:rFonts w:ascii="Arial" w:hAnsi="Arial"/>
        </w:rPr>
        <w:t>Harmonization</w:t>
      </w:r>
      <w:r w:rsidRPr="0025374E">
        <w:rPr>
          <w:rFonts w:ascii="Arial" w:hAnsi="Arial"/>
        </w:rPr>
        <w:t xml:space="preserve"> Unit, Ministry </w:t>
      </w:r>
      <w:bookmarkStart w:id="5" w:name="_GoBack"/>
      <w:bookmarkEnd w:id="5"/>
      <w:r w:rsidRPr="0025374E">
        <w:rPr>
          <w:rFonts w:ascii="Arial" w:hAnsi="Arial"/>
        </w:rPr>
        <w:t>of Finance of Georgia</w:t>
      </w:r>
    </w:p>
    <w:p w14:paraId="62FA52A4" w14:textId="77777777" w:rsidR="00387C29" w:rsidRPr="0059441C" w:rsidRDefault="00387C29" w:rsidP="00387C29">
      <w:pPr>
        <w:spacing w:before="100" w:beforeAutospacing="1" w:after="100" w:afterAutospacing="1"/>
        <w:ind w:left="708"/>
        <w:rPr>
          <w:rFonts w:ascii="Arial" w:hAnsi="Arial"/>
        </w:rPr>
      </w:pPr>
      <w:r>
        <w:rPr>
          <w:rFonts w:ascii="Arial" w:hAnsi="Arial"/>
        </w:rPr>
        <w:t>Richard Maggs</w:t>
      </w:r>
      <w:r w:rsidRPr="008C4C8C">
        <w:rPr>
          <w:rFonts w:ascii="Arial" w:hAnsi="Arial"/>
        </w:rPr>
        <w:t>, World Bank</w:t>
      </w:r>
      <w:r>
        <w:rPr>
          <w:rFonts w:ascii="Arial" w:hAnsi="Arial"/>
        </w:rPr>
        <w:t>,</w:t>
      </w:r>
      <w:r w:rsidRPr="008C4C8C">
        <w:rPr>
          <w:rFonts w:ascii="Arial" w:hAnsi="Arial"/>
        </w:rPr>
        <w:t xml:space="preserve"> Consultant</w:t>
      </w:r>
    </w:p>
    <w:p w14:paraId="1CFA21E6" w14:textId="4137F892" w:rsidR="00387C29" w:rsidRPr="00050A88" w:rsidRDefault="00387C29" w:rsidP="00050A88">
      <w:pPr>
        <w:spacing w:before="100" w:beforeAutospacing="1" w:after="100" w:afterAutospacing="1"/>
        <w:ind w:left="708"/>
        <w:rPr>
          <w:rFonts w:ascii="Arial" w:hAnsi="Arial"/>
        </w:rPr>
      </w:pPr>
      <w:r>
        <w:rPr>
          <w:rFonts w:ascii="Arial" w:hAnsi="Arial"/>
        </w:rPr>
        <w:t xml:space="preserve">Diana </w:t>
      </w:r>
      <w:proofErr w:type="spellStart"/>
      <w:r>
        <w:rPr>
          <w:rFonts w:ascii="Arial" w:hAnsi="Arial"/>
        </w:rPr>
        <w:t>Grosu-Axenti</w:t>
      </w:r>
      <w:proofErr w:type="spellEnd"/>
      <w:r>
        <w:rPr>
          <w:rFonts w:ascii="Arial" w:hAnsi="Arial"/>
        </w:rPr>
        <w:t xml:space="preserve">, </w:t>
      </w:r>
      <w:r w:rsidRPr="008C4C8C">
        <w:rPr>
          <w:rFonts w:ascii="Arial" w:hAnsi="Arial"/>
        </w:rPr>
        <w:t>World Bank</w:t>
      </w:r>
      <w:r>
        <w:rPr>
          <w:rFonts w:ascii="Arial" w:hAnsi="Arial"/>
        </w:rPr>
        <w:t>,</w:t>
      </w:r>
      <w:r w:rsidRPr="008C4C8C">
        <w:rPr>
          <w:rFonts w:ascii="Arial" w:hAnsi="Arial"/>
        </w:rPr>
        <w:t xml:space="preserve"> Consultant</w:t>
      </w:r>
    </w:p>
    <w:p w14:paraId="100FA1A8" w14:textId="55595AB9" w:rsidR="0086376D" w:rsidRDefault="0086376D" w:rsidP="003A0328">
      <w:pPr>
        <w:spacing w:before="100" w:beforeAutospacing="1" w:after="100" w:afterAutospacing="1"/>
        <w:ind w:left="708"/>
        <w:rPr>
          <w:rFonts w:ascii="Arial" w:hAnsi="Arial"/>
        </w:rPr>
      </w:pPr>
      <w:r w:rsidRPr="008C4C8C">
        <w:rPr>
          <w:rFonts w:ascii="Arial" w:hAnsi="Arial"/>
        </w:rPr>
        <w:t xml:space="preserve">Arman </w:t>
      </w:r>
      <w:proofErr w:type="spellStart"/>
      <w:r w:rsidRPr="008C4C8C">
        <w:rPr>
          <w:rFonts w:ascii="Arial" w:hAnsi="Arial"/>
        </w:rPr>
        <w:t>Vatyan</w:t>
      </w:r>
      <w:proofErr w:type="spellEnd"/>
      <w:r w:rsidRPr="008C4C8C">
        <w:rPr>
          <w:rFonts w:ascii="Arial" w:hAnsi="Arial"/>
        </w:rPr>
        <w:t xml:space="preserve">, World Bank, Lead of </w:t>
      </w:r>
      <w:r>
        <w:rPr>
          <w:rFonts w:ascii="Arial" w:hAnsi="Arial"/>
        </w:rPr>
        <w:t xml:space="preserve">the </w:t>
      </w:r>
      <w:r w:rsidRPr="008C4C8C">
        <w:rPr>
          <w:rFonts w:ascii="Arial" w:hAnsi="Arial"/>
        </w:rPr>
        <w:t>IACOP</w:t>
      </w:r>
    </w:p>
    <w:p w14:paraId="42B96C7E" w14:textId="77777777" w:rsidR="0086376D" w:rsidRDefault="0086376D" w:rsidP="000602D9"/>
    <w:p w14:paraId="5E83FC08" w14:textId="77777777" w:rsidR="000602D9" w:rsidRDefault="0086376D" w:rsidP="000602D9">
      <w:r w:rsidRPr="003A0328">
        <w:br w:type="page"/>
      </w:r>
    </w:p>
    <w:p w14:paraId="0868AC15" w14:textId="77777777" w:rsidR="000602D9" w:rsidRDefault="000602D9" w:rsidP="000602D9"/>
    <w:p w14:paraId="329E47B2" w14:textId="77777777" w:rsidR="0086376D" w:rsidRDefault="006524E0" w:rsidP="000602D9">
      <w:pPr>
        <w:pStyle w:val="Heading1"/>
      </w:pPr>
      <w:r>
        <w:t>ACRONYMS</w:t>
      </w:r>
    </w:p>
    <w:p w14:paraId="7D3135A0" w14:textId="77777777" w:rsidR="00191EFD" w:rsidRPr="00191EFD" w:rsidRDefault="00191EFD" w:rsidP="00191EFD">
      <w:pPr>
        <w:rPr>
          <w:lang w:eastAsia="ja-JP"/>
        </w:rPr>
      </w:pPr>
    </w:p>
    <w:tbl>
      <w:tblPr>
        <w:tblStyle w:val="TableGrid"/>
        <w:tblW w:w="0" w:type="auto"/>
        <w:tblLook w:val="04A0" w:firstRow="1" w:lastRow="0" w:firstColumn="1" w:lastColumn="0" w:noHBand="0" w:noVBand="1"/>
      </w:tblPr>
      <w:tblGrid>
        <w:gridCol w:w="1027"/>
        <w:gridCol w:w="7269"/>
      </w:tblGrid>
      <w:tr w:rsidR="00191EFD" w14:paraId="3E44CF6F" w14:textId="77777777" w:rsidTr="007942CC">
        <w:tc>
          <w:tcPr>
            <w:tcW w:w="1027" w:type="dxa"/>
          </w:tcPr>
          <w:p w14:paraId="63E343A4" w14:textId="77777777" w:rsidR="00191EFD" w:rsidRDefault="00191EFD" w:rsidP="007942CC">
            <w:pPr>
              <w:pStyle w:val="Table"/>
            </w:pPr>
            <w:r>
              <w:t>COSO</w:t>
            </w:r>
          </w:p>
        </w:tc>
        <w:tc>
          <w:tcPr>
            <w:tcW w:w="7269" w:type="dxa"/>
          </w:tcPr>
          <w:p w14:paraId="20A6E8FC" w14:textId="77777777" w:rsidR="00191EFD" w:rsidRDefault="00191EFD" w:rsidP="007942CC">
            <w:pPr>
              <w:pStyle w:val="Table"/>
            </w:pPr>
            <w:r>
              <w:t>Committee of Sponsoring Organizations of the Treadway Commission</w:t>
            </w:r>
          </w:p>
        </w:tc>
      </w:tr>
      <w:tr w:rsidR="0086376D" w14:paraId="4EFC431F" w14:textId="77777777" w:rsidTr="007942CC">
        <w:tc>
          <w:tcPr>
            <w:tcW w:w="1027" w:type="dxa"/>
          </w:tcPr>
          <w:p w14:paraId="70D69E87" w14:textId="77777777" w:rsidR="0086376D" w:rsidRDefault="0086376D" w:rsidP="007942CC">
            <w:pPr>
              <w:pStyle w:val="Table"/>
            </w:pPr>
            <w:r>
              <w:t>IACOP</w:t>
            </w:r>
          </w:p>
        </w:tc>
        <w:tc>
          <w:tcPr>
            <w:tcW w:w="7269" w:type="dxa"/>
          </w:tcPr>
          <w:p w14:paraId="748C8CA3" w14:textId="77777777" w:rsidR="0086376D" w:rsidRDefault="0086376D" w:rsidP="007942CC">
            <w:pPr>
              <w:pStyle w:val="Table"/>
            </w:pPr>
            <w:r>
              <w:t>Internal Audit Community of Practice of PEMPAL</w:t>
            </w:r>
          </w:p>
        </w:tc>
      </w:tr>
      <w:tr w:rsidR="0086376D" w14:paraId="5AE35B8C" w14:textId="77777777" w:rsidTr="007942CC">
        <w:tc>
          <w:tcPr>
            <w:tcW w:w="1027" w:type="dxa"/>
          </w:tcPr>
          <w:p w14:paraId="3EA7EA7B" w14:textId="77777777" w:rsidR="0086376D" w:rsidRDefault="0086376D" w:rsidP="007942CC">
            <w:pPr>
              <w:pStyle w:val="Table"/>
            </w:pPr>
            <w:r>
              <w:t>IIA</w:t>
            </w:r>
          </w:p>
        </w:tc>
        <w:tc>
          <w:tcPr>
            <w:tcW w:w="7269" w:type="dxa"/>
          </w:tcPr>
          <w:p w14:paraId="4ADB51F1" w14:textId="77777777" w:rsidR="0086376D" w:rsidRDefault="0086376D" w:rsidP="007942CC">
            <w:pPr>
              <w:pStyle w:val="Table"/>
            </w:pPr>
            <w:r>
              <w:t>The Institute of Internal Auditors</w:t>
            </w:r>
          </w:p>
        </w:tc>
      </w:tr>
      <w:tr w:rsidR="0086376D" w14:paraId="2C4B59A1" w14:textId="77777777" w:rsidTr="007942CC">
        <w:tc>
          <w:tcPr>
            <w:tcW w:w="1027" w:type="dxa"/>
          </w:tcPr>
          <w:p w14:paraId="5F3BF142" w14:textId="77777777" w:rsidR="0086376D" w:rsidRDefault="0086376D" w:rsidP="007942CC">
            <w:pPr>
              <w:pStyle w:val="Table"/>
            </w:pPr>
            <w:r>
              <w:t>PEMPAL</w:t>
            </w:r>
          </w:p>
        </w:tc>
        <w:tc>
          <w:tcPr>
            <w:tcW w:w="7269" w:type="dxa"/>
          </w:tcPr>
          <w:p w14:paraId="19A3644B" w14:textId="77777777" w:rsidR="0086376D" w:rsidRDefault="0086376D" w:rsidP="007942CC">
            <w:pPr>
              <w:pStyle w:val="Table"/>
            </w:pPr>
            <w:r>
              <w:t xml:space="preserve">Public Expenditure Management Peer Assisted Learning </w:t>
            </w:r>
          </w:p>
        </w:tc>
      </w:tr>
      <w:tr w:rsidR="0086376D" w14:paraId="69FC83C8" w14:textId="77777777" w:rsidTr="007942CC">
        <w:tc>
          <w:tcPr>
            <w:tcW w:w="1027" w:type="dxa"/>
          </w:tcPr>
          <w:p w14:paraId="61BA3ACC" w14:textId="77777777" w:rsidR="0086376D" w:rsidRDefault="0086376D" w:rsidP="007942CC">
            <w:pPr>
              <w:pStyle w:val="Table"/>
            </w:pPr>
            <w:r>
              <w:t>SAI</w:t>
            </w:r>
          </w:p>
        </w:tc>
        <w:tc>
          <w:tcPr>
            <w:tcW w:w="7269" w:type="dxa"/>
          </w:tcPr>
          <w:p w14:paraId="406E7EA0" w14:textId="77777777" w:rsidR="0086376D" w:rsidRDefault="0086376D" w:rsidP="007942CC">
            <w:pPr>
              <w:pStyle w:val="Table"/>
            </w:pPr>
            <w:r>
              <w:t>Supreme Audit Institution</w:t>
            </w:r>
          </w:p>
        </w:tc>
      </w:tr>
    </w:tbl>
    <w:p w14:paraId="175890B0" w14:textId="77777777" w:rsidR="005A0892" w:rsidRDefault="005A0892" w:rsidP="003A0328"/>
    <w:p w14:paraId="3BB35B2C" w14:textId="77777777" w:rsidR="005A0892" w:rsidRDefault="005A0892">
      <w:pPr>
        <w:spacing w:after="200"/>
      </w:pPr>
      <w:r>
        <w:br w:type="page"/>
      </w:r>
    </w:p>
    <w:bookmarkEnd w:id="0"/>
    <w:p w14:paraId="01E75D22" w14:textId="77777777" w:rsidR="00DF57E2" w:rsidRPr="0086376D" w:rsidRDefault="003A0328" w:rsidP="0086376D">
      <w:pPr>
        <w:pStyle w:val="Heading1"/>
      </w:pPr>
      <w:r>
        <w:lastRenderedPageBreak/>
        <w:t>INTRODUCTION</w:t>
      </w:r>
    </w:p>
    <w:p w14:paraId="23EC865E" w14:textId="77777777" w:rsidR="00DF57E2" w:rsidRPr="00466B88" w:rsidRDefault="00DF57E2" w:rsidP="00DF57E2">
      <w:pPr>
        <w:pStyle w:val="ListParagraph"/>
      </w:pPr>
      <w:r w:rsidRPr="00466B88">
        <w:t>The</w:t>
      </w:r>
      <w:r>
        <w:t xml:space="preserve"> PEMPAL</w:t>
      </w:r>
      <w:r w:rsidRPr="00466B88">
        <w:t xml:space="preserve"> glossary of terms</w:t>
      </w:r>
      <w:r w:rsidR="0070214A">
        <w:t xml:space="preserve"> </w:t>
      </w:r>
      <w:r w:rsidRPr="00466B88">
        <w:t>has been developed based on (</w:t>
      </w:r>
      <w:proofErr w:type="spellStart"/>
      <w:r w:rsidRPr="00466B88">
        <w:t>i</w:t>
      </w:r>
      <w:proofErr w:type="spellEnd"/>
      <w:r w:rsidRPr="00466B88">
        <w:t>) the glossary that accompanies the IIA internal auditing standards; (ii) the terminology used by the European Union in promoting the concept of PIC (</w:t>
      </w:r>
      <w:r>
        <w:t>including</w:t>
      </w:r>
      <w:r w:rsidRPr="00466B88">
        <w:t xml:space="preserve"> </w:t>
      </w:r>
      <w:proofErr w:type="spellStart"/>
      <w:r w:rsidRPr="00466B88">
        <w:t>PIfC</w:t>
      </w:r>
      <w:proofErr w:type="spellEnd"/>
      <w:r w:rsidRPr="00466B88">
        <w:t xml:space="preserve">); (iii) the terms used by COSO in defining </w:t>
      </w:r>
      <w:r>
        <w:t>IC</w:t>
      </w:r>
      <w:r w:rsidRPr="00466B88">
        <w:t xml:space="preserve"> and the related components of the </w:t>
      </w:r>
      <w:r>
        <w:t>IC</w:t>
      </w:r>
      <w:r w:rsidRPr="00466B88">
        <w:t xml:space="preserve"> integrated framework</w:t>
      </w:r>
      <w:r>
        <w:t>;</w:t>
      </w:r>
      <w:r w:rsidRPr="00466B88">
        <w:t xml:space="preserve"> and (iv) the terms used in the COSO Enterprise Risk Management Framework. Where a term has not been obtained from one of these </w:t>
      </w:r>
      <w:r>
        <w:t>four</w:t>
      </w:r>
      <w:r w:rsidRPr="00466B88">
        <w:t xml:space="preserve"> main sources, the source of the glossary definition is explained in a footnote. </w:t>
      </w:r>
    </w:p>
    <w:p w14:paraId="43EB93A6" w14:textId="77777777" w:rsidR="003A0328" w:rsidRDefault="003A0328" w:rsidP="00DF57E2">
      <w:pPr>
        <w:pStyle w:val="ListParagraph"/>
      </w:pPr>
      <w:r>
        <w:t>The glossary has been produced in two formats</w:t>
      </w:r>
      <w:r w:rsidR="004005B6">
        <w:t xml:space="preserve"> for ease of use</w:t>
      </w:r>
      <w:r>
        <w:t xml:space="preserve">. </w:t>
      </w:r>
    </w:p>
    <w:p w14:paraId="3F8C2D6F" w14:textId="77777777" w:rsidR="0070214A" w:rsidRPr="003A0328" w:rsidRDefault="004005B6" w:rsidP="003A0328">
      <w:pPr>
        <w:pStyle w:val="ListBullet"/>
      </w:pPr>
      <w:r>
        <w:t>SECTION A contains a</w:t>
      </w:r>
      <w:r w:rsidR="003A0328" w:rsidRPr="003A0328">
        <w:t xml:space="preserve"> full glossary which includes all the terms proposed by PEMPAL where </w:t>
      </w:r>
      <w:r w:rsidR="0070214A" w:rsidRPr="003A0328">
        <w:t>the terms included have been color coded as follows:</w:t>
      </w:r>
    </w:p>
    <w:tbl>
      <w:tblPr>
        <w:tblStyle w:val="TableGrid"/>
        <w:tblW w:w="8275" w:type="dxa"/>
        <w:tblInd w:w="-5" w:type="dxa"/>
        <w:tblLook w:val="04A0" w:firstRow="1" w:lastRow="0" w:firstColumn="1" w:lastColumn="0" w:noHBand="0" w:noVBand="1"/>
      </w:tblPr>
      <w:tblGrid>
        <w:gridCol w:w="8275"/>
      </w:tblGrid>
      <w:tr w:rsidR="00166EFC" w14:paraId="4809B9FE" w14:textId="77777777" w:rsidTr="00B24477">
        <w:trPr>
          <w:trHeight w:val="395"/>
        </w:trPr>
        <w:tc>
          <w:tcPr>
            <w:tcW w:w="8275" w:type="dxa"/>
            <w:shd w:val="clear" w:color="auto" w:fill="auto"/>
          </w:tcPr>
          <w:p w14:paraId="7FB7C4E6" w14:textId="77777777" w:rsidR="00166EFC" w:rsidRPr="0070214A" w:rsidRDefault="00166EFC" w:rsidP="00B92DBE">
            <w:pPr>
              <w:pStyle w:val="Table"/>
            </w:pPr>
            <w:r>
              <w:t xml:space="preserve">Generic terms that relate to Public Internal </w:t>
            </w:r>
            <w:r w:rsidR="002C534E">
              <w:t xml:space="preserve">Financial </w:t>
            </w:r>
            <w:r>
              <w:t>Control</w:t>
            </w:r>
          </w:p>
        </w:tc>
      </w:tr>
      <w:tr w:rsidR="0070214A" w14:paraId="4C40BE64" w14:textId="77777777" w:rsidTr="00B24477">
        <w:tc>
          <w:tcPr>
            <w:tcW w:w="8275" w:type="dxa"/>
            <w:shd w:val="clear" w:color="auto" w:fill="EAF1DD" w:themeFill="accent3" w:themeFillTint="33"/>
          </w:tcPr>
          <w:p w14:paraId="565D16CE" w14:textId="77777777" w:rsidR="0070214A" w:rsidRDefault="0070214A" w:rsidP="0070214A">
            <w:pPr>
              <w:pStyle w:val="Table"/>
            </w:pPr>
            <w:r>
              <w:t>Terms that relate to Risk Management</w:t>
            </w:r>
          </w:p>
        </w:tc>
      </w:tr>
      <w:tr w:rsidR="0070214A" w14:paraId="05E94E73" w14:textId="77777777" w:rsidTr="00B24477">
        <w:tc>
          <w:tcPr>
            <w:tcW w:w="8275" w:type="dxa"/>
            <w:shd w:val="clear" w:color="auto" w:fill="DAEEF3" w:themeFill="accent5" w:themeFillTint="33"/>
          </w:tcPr>
          <w:p w14:paraId="6AD4EF32" w14:textId="77777777" w:rsidR="0070214A" w:rsidRDefault="0070214A" w:rsidP="0070214A">
            <w:pPr>
              <w:pStyle w:val="Table"/>
            </w:pPr>
            <w:r>
              <w:t>Terms that relate to COSO based Internal Control</w:t>
            </w:r>
          </w:p>
        </w:tc>
      </w:tr>
      <w:tr w:rsidR="00C072C6" w14:paraId="797FB3F1" w14:textId="77777777" w:rsidTr="00B24477">
        <w:tc>
          <w:tcPr>
            <w:tcW w:w="8275" w:type="dxa"/>
            <w:shd w:val="clear" w:color="auto" w:fill="E5DFEC" w:themeFill="accent4" w:themeFillTint="33"/>
          </w:tcPr>
          <w:p w14:paraId="627339DD" w14:textId="77777777" w:rsidR="00C072C6" w:rsidRDefault="00C072C6" w:rsidP="0070214A">
            <w:pPr>
              <w:pStyle w:val="Table"/>
            </w:pPr>
            <w:r>
              <w:t>Terms that relate to the elements of a performance Management Framework</w:t>
            </w:r>
          </w:p>
        </w:tc>
      </w:tr>
    </w:tbl>
    <w:p w14:paraId="33270A88" w14:textId="3A9393EB" w:rsidR="003A0328" w:rsidRDefault="004005B6" w:rsidP="003A0328">
      <w:pPr>
        <w:pStyle w:val="ListBullet"/>
      </w:pPr>
      <w:r>
        <w:t xml:space="preserve">SECTION B contains a series of </w:t>
      </w:r>
      <w:r w:rsidR="00DA3ABC">
        <w:t>four</w:t>
      </w:r>
      <w:r>
        <w:t xml:space="preserve"> individual glossaries where the color</w:t>
      </w:r>
      <w:r w:rsidR="007942CC">
        <w:t>-</w:t>
      </w:r>
      <w:r>
        <w:t xml:space="preserve">coded sections noted above have been grouped together. </w:t>
      </w:r>
    </w:p>
    <w:p w14:paraId="7BCBBF1F" w14:textId="77777777" w:rsidR="004005B6" w:rsidRDefault="004005B6">
      <w:pPr>
        <w:spacing w:after="200"/>
        <w:rPr>
          <w:rFonts w:asciiTheme="minorHAnsi" w:hAnsiTheme="minorHAnsi"/>
          <w:b/>
          <w:bCs/>
          <w:caps/>
          <w:color w:val="FFFFFF" w:themeColor="background1"/>
          <w:spacing w:val="15"/>
          <w:sz w:val="22"/>
          <w:szCs w:val="22"/>
          <w:lang w:eastAsia="ja-JP"/>
        </w:rPr>
      </w:pPr>
      <w:r>
        <w:br w:type="page"/>
      </w:r>
    </w:p>
    <w:p w14:paraId="526FFF8C" w14:textId="77777777" w:rsidR="00DF57E2" w:rsidRPr="00466B88" w:rsidRDefault="004005B6" w:rsidP="004005B6">
      <w:pPr>
        <w:pStyle w:val="Heading1"/>
      </w:pPr>
      <w:r>
        <w:lastRenderedPageBreak/>
        <w:t>section A FULL GLOSSARY</w:t>
      </w:r>
    </w:p>
    <w:tbl>
      <w:tblPr>
        <w:tblStyle w:val="TableGrid"/>
        <w:tblW w:w="8635" w:type="dxa"/>
        <w:tblLook w:val="04A0" w:firstRow="1" w:lastRow="0" w:firstColumn="1" w:lastColumn="0" w:noHBand="0" w:noVBand="1"/>
      </w:tblPr>
      <w:tblGrid>
        <w:gridCol w:w="1773"/>
        <w:gridCol w:w="6862"/>
      </w:tblGrid>
      <w:tr w:rsidR="00DF57E2" w:rsidRPr="00466B88" w14:paraId="7E9615CB" w14:textId="77777777" w:rsidTr="00DA65BA">
        <w:trPr>
          <w:tblHeader/>
        </w:trPr>
        <w:tc>
          <w:tcPr>
            <w:tcW w:w="1773" w:type="dxa"/>
          </w:tcPr>
          <w:p w14:paraId="2DAB7E4B" w14:textId="77777777" w:rsidR="00DF57E2" w:rsidRPr="00466B88" w:rsidRDefault="00DF57E2" w:rsidP="007942CC">
            <w:pPr>
              <w:pStyle w:val="Table"/>
              <w:jc w:val="center"/>
              <w:rPr>
                <w:b/>
                <w:sz w:val="24"/>
                <w:szCs w:val="24"/>
              </w:rPr>
            </w:pPr>
            <w:r w:rsidRPr="00466B88">
              <w:rPr>
                <w:b/>
                <w:sz w:val="24"/>
                <w:szCs w:val="24"/>
              </w:rPr>
              <w:t>Terminology</w:t>
            </w:r>
          </w:p>
        </w:tc>
        <w:tc>
          <w:tcPr>
            <w:tcW w:w="6862" w:type="dxa"/>
          </w:tcPr>
          <w:p w14:paraId="2718D452" w14:textId="77777777" w:rsidR="00DF57E2" w:rsidRPr="00466B88" w:rsidRDefault="00DF57E2" w:rsidP="007942CC">
            <w:pPr>
              <w:pStyle w:val="Table"/>
              <w:jc w:val="center"/>
              <w:rPr>
                <w:b/>
                <w:sz w:val="24"/>
                <w:szCs w:val="24"/>
              </w:rPr>
            </w:pPr>
            <w:r w:rsidRPr="00466B88">
              <w:rPr>
                <w:b/>
                <w:sz w:val="24"/>
                <w:szCs w:val="24"/>
              </w:rPr>
              <w:t>Definition</w:t>
            </w:r>
          </w:p>
        </w:tc>
      </w:tr>
      <w:tr w:rsidR="00DF57E2" w:rsidRPr="00466B88" w14:paraId="15F43652" w14:textId="77777777" w:rsidTr="00DA65BA">
        <w:tc>
          <w:tcPr>
            <w:tcW w:w="1773" w:type="dxa"/>
          </w:tcPr>
          <w:p w14:paraId="5ECEFBF0" w14:textId="77777777" w:rsidR="00DF57E2" w:rsidRPr="00466B88" w:rsidRDefault="00DF57E2" w:rsidP="007942CC">
            <w:pPr>
              <w:pStyle w:val="Table"/>
            </w:pPr>
            <w:r w:rsidRPr="00466B88">
              <w:t>Accountability</w:t>
            </w:r>
          </w:p>
        </w:tc>
        <w:tc>
          <w:tcPr>
            <w:tcW w:w="6862" w:type="dxa"/>
          </w:tcPr>
          <w:p w14:paraId="45A4154E" w14:textId="77777777" w:rsidR="00DF57E2" w:rsidRPr="00466B88" w:rsidRDefault="00DF57E2" w:rsidP="007942CC">
            <w:pPr>
              <w:pStyle w:val="Table"/>
            </w:pPr>
            <w:r w:rsidRPr="00466B88">
              <w:t>The obligations of persons or entities, including public enterprises and corporations, entrusted with public resources to be answerable for the financial, managerial</w:t>
            </w:r>
            <w:r>
              <w:t>,</w:t>
            </w:r>
            <w:r w:rsidRPr="00466B88">
              <w:t xml:space="preserve"> and program responsibilities that have been conferred on the manager, and to report to those that have conferred these responsibilities. </w:t>
            </w:r>
          </w:p>
          <w:p w14:paraId="42D2397D" w14:textId="77777777" w:rsidR="00DF57E2" w:rsidRPr="00466B88" w:rsidRDefault="00DF57E2" w:rsidP="007942CC">
            <w:pPr>
              <w:pStyle w:val="Table"/>
            </w:pPr>
            <w:r w:rsidRPr="00466B88">
              <w:t>It means that persons are held responsible for carrying out a defined set of duties or tasks, and for conforming with rules and standards applicable to their posts. The person or body to which individuals answer for their actions is made explicit and they may be rewarded for good performance or suffer the consequences of inadequate performance.</w:t>
            </w:r>
          </w:p>
        </w:tc>
      </w:tr>
      <w:tr w:rsidR="00DF57E2" w:rsidRPr="00466B88" w14:paraId="6DEAF970" w14:textId="77777777" w:rsidTr="00DA65BA">
        <w:tc>
          <w:tcPr>
            <w:tcW w:w="1773" w:type="dxa"/>
            <w:shd w:val="clear" w:color="auto" w:fill="auto"/>
          </w:tcPr>
          <w:p w14:paraId="512263A2" w14:textId="77777777" w:rsidR="00DF57E2" w:rsidRPr="00466B88" w:rsidRDefault="00DF57E2" w:rsidP="007942CC">
            <w:pPr>
              <w:pStyle w:val="Table"/>
            </w:pPr>
            <w:r w:rsidRPr="00466B88">
              <w:t>Audit Evidence</w:t>
            </w:r>
            <w:r w:rsidRPr="00466B88">
              <w:rPr>
                <w:rStyle w:val="FootnoteReference"/>
              </w:rPr>
              <w:footnoteReference w:id="2"/>
            </w:r>
          </w:p>
        </w:tc>
        <w:tc>
          <w:tcPr>
            <w:tcW w:w="6862" w:type="dxa"/>
            <w:shd w:val="clear" w:color="auto" w:fill="auto"/>
          </w:tcPr>
          <w:p w14:paraId="2F5513F2" w14:textId="77777777" w:rsidR="00DF57E2" w:rsidRPr="00466B88" w:rsidRDefault="00DF57E2" w:rsidP="007942CC">
            <w:pPr>
              <w:pStyle w:val="Table"/>
            </w:pPr>
            <w:r w:rsidRPr="00466B88">
              <w:t>Information, which supports the opinions, conclusions or reports of the auditors, internal audit services</w:t>
            </w:r>
            <w:r>
              <w:t>,</w:t>
            </w:r>
            <w:r w:rsidRPr="00466B88">
              <w:t xml:space="preserve"> or SAI. It should be sufficient</w:t>
            </w:r>
            <w:r>
              <w:t>ly</w:t>
            </w:r>
            <w:r w:rsidRPr="00466B88">
              <w:t xml:space="preserve"> reliable and relevant to support the opinions and conclusions made. </w:t>
            </w:r>
          </w:p>
        </w:tc>
      </w:tr>
      <w:tr w:rsidR="00DF57E2" w:rsidRPr="00466B88" w14:paraId="1C8DACA0" w14:textId="77777777" w:rsidTr="00DA65BA">
        <w:tc>
          <w:tcPr>
            <w:tcW w:w="1773" w:type="dxa"/>
            <w:shd w:val="clear" w:color="auto" w:fill="auto"/>
          </w:tcPr>
          <w:p w14:paraId="6A702550" w14:textId="77777777" w:rsidR="00DF57E2" w:rsidRPr="00466B88" w:rsidRDefault="00DF57E2" w:rsidP="007942CC">
            <w:pPr>
              <w:pStyle w:val="Table"/>
            </w:pPr>
            <w:r w:rsidRPr="00466B88">
              <w:t>Audit Mandate</w:t>
            </w:r>
          </w:p>
        </w:tc>
        <w:tc>
          <w:tcPr>
            <w:tcW w:w="6862" w:type="dxa"/>
            <w:shd w:val="clear" w:color="auto" w:fill="auto"/>
          </w:tcPr>
          <w:p w14:paraId="6B544FFE" w14:textId="77777777" w:rsidR="00DF57E2" w:rsidRPr="00466B88" w:rsidRDefault="00DF57E2" w:rsidP="007942CC">
            <w:pPr>
              <w:pStyle w:val="Table"/>
            </w:pPr>
            <w:r w:rsidRPr="00466B88">
              <w:t>The auditing responsibilities, powers, discretion</w:t>
            </w:r>
            <w:r>
              <w:t>,</w:t>
            </w:r>
            <w:r w:rsidRPr="00466B88">
              <w:t xml:space="preserve"> and duties conferred on any audit body (e.g. the SAI) under the constitution or other lawful authority of a country (as set out in primary or secondary national legislation).</w:t>
            </w:r>
          </w:p>
        </w:tc>
      </w:tr>
      <w:tr w:rsidR="00DF57E2" w:rsidRPr="00466B88" w14:paraId="69D8A2EC" w14:textId="77777777" w:rsidTr="00DA65BA">
        <w:tc>
          <w:tcPr>
            <w:tcW w:w="1773" w:type="dxa"/>
            <w:shd w:val="clear" w:color="auto" w:fill="auto"/>
          </w:tcPr>
          <w:p w14:paraId="02243897" w14:textId="77777777" w:rsidR="00DF57E2" w:rsidRPr="00466B88" w:rsidRDefault="00DF57E2" w:rsidP="007942CC">
            <w:pPr>
              <w:pStyle w:val="Table"/>
            </w:pPr>
            <w:r w:rsidRPr="00466B88">
              <w:t>Audit Objective</w:t>
            </w:r>
          </w:p>
        </w:tc>
        <w:tc>
          <w:tcPr>
            <w:tcW w:w="6862" w:type="dxa"/>
            <w:shd w:val="clear" w:color="auto" w:fill="auto"/>
          </w:tcPr>
          <w:p w14:paraId="429BB0C1" w14:textId="77777777" w:rsidR="00DF57E2" w:rsidRPr="00466B88" w:rsidRDefault="00DF57E2" w:rsidP="007942CC">
            <w:pPr>
              <w:pStyle w:val="Table"/>
            </w:pPr>
            <w:r w:rsidRPr="00466B88">
              <w:rPr>
                <w:rFonts w:ascii="Calibri" w:eastAsia="Times New Roman" w:hAnsi="Calibri"/>
              </w:rPr>
              <w:t>A precise statement of what the audit intends to accomplish and/or the question the audit will answer. This may include financial, regularity</w:t>
            </w:r>
            <w:r>
              <w:rPr>
                <w:rFonts w:ascii="Calibri" w:eastAsia="Times New Roman" w:hAnsi="Calibri"/>
              </w:rPr>
              <w:t>,</w:t>
            </w:r>
            <w:r w:rsidRPr="00466B88">
              <w:rPr>
                <w:rFonts w:ascii="Calibri" w:eastAsia="Times New Roman" w:hAnsi="Calibri"/>
              </w:rPr>
              <w:t xml:space="preserve"> or performance issues.</w:t>
            </w:r>
          </w:p>
        </w:tc>
      </w:tr>
      <w:tr w:rsidR="00DF57E2" w:rsidRPr="00466B88" w14:paraId="1664D24D" w14:textId="77777777" w:rsidTr="00DA65BA">
        <w:tc>
          <w:tcPr>
            <w:tcW w:w="1773" w:type="dxa"/>
            <w:shd w:val="clear" w:color="auto" w:fill="auto"/>
          </w:tcPr>
          <w:p w14:paraId="36EF1B2A" w14:textId="77777777" w:rsidR="00DF57E2" w:rsidRPr="00466B88" w:rsidRDefault="00DF57E2" w:rsidP="007942CC">
            <w:pPr>
              <w:pStyle w:val="Table"/>
            </w:pPr>
            <w:r w:rsidRPr="00466B88">
              <w:t>Audit Procedures</w:t>
            </w:r>
          </w:p>
        </w:tc>
        <w:tc>
          <w:tcPr>
            <w:tcW w:w="6862" w:type="dxa"/>
            <w:shd w:val="clear" w:color="auto" w:fill="auto"/>
          </w:tcPr>
          <w:p w14:paraId="0DF1F586" w14:textId="77777777" w:rsidR="00DF57E2" w:rsidRPr="00466B88" w:rsidRDefault="00DF57E2" w:rsidP="007942CC">
            <w:pPr>
              <w:pStyle w:val="Table"/>
            </w:pPr>
            <w:r w:rsidRPr="00466B88">
              <w:t>Tests, instructions</w:t>
            </w:r>
            <w:r>
              <w:t>,</w:t>
            </w:r>
            <w:r w:rsidRPr="00466B88">
              <w:t xml:space="preserve"> and details included in the audit program to be carried out systematically and reasonably.</w:t>
            </w:r>
          </w:p>
        </w:tc>
      </w:tr>
      <w:tr w:rsidR="00DF57E2" w:rsidRPr="00466B88" w14:paraId="41A2A21E" w14:textId="77777777" w:rsidTr="00DA65BA">
        <w:tc>
          <w:tcPr>
            <w:tcW w:w="1773" w:type="dxa"/>
            <w:shd w:val="clear" w:color="auto" w:fill="auto"/>
          </w:tcPr>
          <w:p w14:paraId="34E4856D" w14:textId="77777777" w:rsidR="00DF57E2" w:rsidRPr="00466B88" w:rsidRDefault="00DF57E2" w:rsidP="007942CC">
            <w:pPr>
              <w:pStyle w:val="Table"/>
            </w:pPr>
            <w:r w:rsidRPr="00466B88">
              <w:t>Audit Scope</w:t>
            </w:r>
          </w:p>
        </w:tc>
        <w:tc>
          <w:tcPr>
            <w:tcW w:w="6862" w:type="dxa"/>
            <w:shd w:val="clear" w:color="auto" w:fill="auto"/>
          </w:tcPr>
          <w:p w14:paraId="3DDF7BF1" w14:textId="77777777" w:rsidR="00DF57E2" w:rsidRPr="00466B88" w:rsidRDefault="00DF57E2" w:rsidP="007942CC">
            <w:pPr>
              <w:pStyle w:val="Table"/>
            </w:pPr>
            <w:r w:rsidRPr="00466B88">
              <w:t>The framework or limits of the subject of an audit.</w:t>
            </w:r>
          </w:p>
        </w:tc>
      </w:tr>
      <w:tr w:rsidR="00DF57E2" w:rsidRPr="00466B88" w14:paraId="48C6BFFF" w14:textId="77777777" w:rsidTr="00DA65BA">
        <w:tc>
          <w:tcPr>
            <w:tcW w:w="1773" w:type="dxa"/>
            <w:shd w:val="clear" w:color="auto" w:fill="auto"/>
          </w:tcPr>
          <w:p w14:paraId="17324360" w14:textId="77777777" w:rsidR="00DF57E2" w:rsidRPr="00466B88" w:rsidRDefault="00DF57E2" w:rsidP="007942CC">
            <w:pPr>
              <w:pStyle w:val="Table"/>
            </w:pPr>
            <w:r w:rsidRPr="00466B88">
              <w:t>Audited Entity</w:t>
            </w:r>
          </w:p>
        </w:tc>
        <w:tc>
          <w:tcPr>
            <w:tcW w:w="6862" w:type="dxa"/>
            <w:shd w:val="clear" w:color="auto" w:fill="auto"/>
          </w:tcPr>
          <w:p w14:paraId="7E4F719E" w14:textId="77777777" w:rsidR="00DF57E2" w:rsidRPr="00466B88" w:rsidRDefault="00DF57E2" w:rsidP="007942CC">
            <w:pPr>
              <w:pStyle w:val="Table"/>
            </w:pPr>
            <w:r w:rsidRPr="00466B88">
              <w:t>The organization, program, activity</w:t>
            </w:r>
            <w:r>
              <w:t>,</w:t>
            </w:r>
            <w:r w:rsidRPr="00466B88">
              <w:t xml:space="preserve"> or functions subject to audit by the SAI or the (internal) audit service</w:t>
            </w:r>
            <w:r>
              <w:t>.</w:t>
            </w:r>
          </w:p>
        </w:tc>
      </w:tr>
      <w:tr w:rsidR="00DF57E2" w:rsidRPr="00466B88" w14:paraId="64822919" w14:textId="77777777" w:rsidTr="00DA65BA">
        <w:tc>
          <w:tcPr>
            <w:tcW w:w="1773" w:type="dxa"/>
            <w:shd w:val="clear" w:color="auto" w:fill="auto"/>
          </w:tcPr>
          <w:p w14:paraId="0BC06E62" w14:textId="77777777" w:rsidR="00DF57E2" w:rsidRPr="00466B88" w:rsidRDefault="00DF57E2" w:rsidP="007942CC">
            <w:pPr>
              <w:pStyle w:val="Table"/>
            </w:pPr>
            <w:r w:rsidRPr="00466B88">
              <w:t>Board</w:t>
            </w:r>
          </w:p>
        </w:tc>
        <w:tc>
          <w:tcPr>
            <w:tcW w:w="6862" w:type="dxa"/>
            <w:shd w:val="clear" w:color="auto" w:fill="auto"/>
          </w:tcPr>
          <w:p w14:paraId="705769C9" w14:textId="5EE2D75E" w:rsidR="00DF57E2" w:rsidRPr="00466B88" w:rsidRDefault="00DF57E2" w:rsidP="007942CC">
            <w:pPr>
              <w:pStyle w:val="Table"/>
            </w:pPr>
            <w:r w:rsidRPr="00466B88">
              <w:t>The highest</w:t>
            </w:r>
            <w:r w:rsidR="00F242E2">
              <w:t>-</w:t>
            </w:r>
            <w:r w:rsidRPr="00466B88">
              <w:t xml:space="preserve">level governing body (e.g., a board of directors, a supervisory board, or a board of governors or trustees) charged with the responsibility to direct and/or oversee the organization’s activities and hold senior management accountable. Although governance arrangements vary among jurisdictions and sectors, typically the board includes members who are not part of management. If a board does not exist, the word “board” in the Standards refers to a group or person charged with governance of the organization. Furthermore, “board” in the Standards may refer to a committee or another body to which the governing body has delegated certain functions (e.g., an audit committee). </w:t>
            </w:r>
          </w:p>
        </w:tc>
      </w:tr>
      <w:tr w:rsidR="00DF57E2" w:rsidRPr="00466B88" w14:paraId="3E1CF5AA" w14:textId="77777777" w:rsidTr="00DA65BA">
        <w:tc>
          <w:tcPr>
            <w:tcW w:w="1773" w:type="dxa"/>
          </w:tcPr>
          <w:p w14:paraId="482CE058" w14:textId="77777777" w:rsidR="00DF57E2" w:rsidRPr="00466B88" w:rsidRDefault="00DF57E2" w:rsidP="007942CC">
            <w:pPr>
              <w:pStyle w:val="Table"/>
            </w:pPr>
            <w:r w:rsidRPr="00466B88">
              <w:t>Central Harmonization Unit</w:t>
            </w:r>
          </w:p>
        </w:tc>
        <w:tc>
          <w:tcPr>
            <w:tcW w:w="6862" w:type="dxa"/>
          </w:tcPr>
          <w:p w14:paraId="7CA76D67" w14:textId="7F066691" w:rsidR="00DF57E2" w:rsidRPr="00466B88" w:rsidRDefault="00DF57E2" w:rsidP="007942CC">
            <w:pPr>
              <w:pStyle w:val="Table"/>
            </w:pPr>
            <w:r w:rsidRPr="00466B88">
              <w:t xml:space="preserve">A policy unit attached and </w:t>
            </w:r>
            <w:r w:rsidR="0017200B">
              <w:t xml:space="preserve">often </w:t>
            </w:r>
            <w:r w:rsidRPr="00466B88">
              <w:t xml:space="preserve">directly reporting to the Minister of Finance responsible for overseeing the status of public internal </w:t>
            </w:r>
            <w:r w:rsidR="002C534E">
              <w:t xml:space="preserve">financial </w:t>
            </w:r>
            <w:r w:rsidRPr="00466B88">
              <w:t>control in the entire public sector</w:t>
            </w:r>
          </w:p>
        </w:tc>
      </w:tr>
      <w:tr w:rsidR="00DF57E2" w:rsidRPr="00466B88" w14:paraId="332C09CF" w14:textId="77777777" w:rsidTr="00DA65BA">
        <w:tc>
          <w:tcPr>
            <w:tcW w:w="1773" w:type="dxa"/>
          </w:tcPr>
          <w:p w14:paraId="03683CF4" w14:textId="77777777" w:rsidR="00DF57E2" w:rsidRPr="00466B88" w:rsidRDefault="00DF57E2" w:rsidP="007942CC">
            <w:pPr>
              <w:pStyle w:val="Table"/>
            </w:pPr>
            <w:r w:rsidRPr="00466B88">
              <w:rPr>
                <w:lang w:bidi="hi-IN"/>
              </w:rPr>
              <w:lastRenderedPageBreak/>
              <w:t>Conflict of Interest</w:t>
            </w:r>
          </w:p>
        </w:tc>
        <w:tc>
          <w:tcPr>
            <w:tcW w:w="6862" w:type="dxa"/>
          </w:tcPr>
          <w:p w14:paraId="50F71D4E" w14:textId="77777777" w:rsidR="00DF57E2" w:rsidRPr="00466B88" w:rsidRDefault="00DF57E2" w:rsidP="007942CC">
            <w:pPr>
              <w:pStyle w:val="Table"/>
            </w:pPr>
            <w:r w:rsidRPr="00466B88">
              <w:rPr>
                <w:lang w:bidi="hi-IN"/>
              </w:rPr>
              <w:t xml:space="preserve">Any relationship that is, or appears to be, not in the best interest of the organization. A conflict of interest would prejudice an individual’s ability to perform his or her duties and responsibilities objectively. </w:t>
            </w:r>
          </w:p>
        </w:tc>
      </w:tr>
      <w:tr w:rsidR="00DF57E2" w:rsidRPr="00466B88" w14:paraId="0D62923A" w14:textId="77777777" w:rsidTr="00DA65BA">
        <w:tc>
          <w:tcPr>
            <w:tcW w:w="1773" w:type="dxa"/>
            <w:shd w:val="clear" w:color="auto" w:fill="DAEEF3" w:themeFill="accent5" w:themeFillTint="33"/>
          </w:tcPr>
          <w:p w14:paraId="4B5133B5" w14:textId="77777777" w:rsidR="00DF57E2" w:rsidRPr="00466B88" w:rsidRDefault="00DF57E2" w:rsidP="007942CC">
            <w:pPr>
              <w:pStyle w:val="Table"/>
            </w:pPr>
            <w:r w:rsidRPr="00466B88">
              <w:rPr>
                <w:lang w:bidi="hi-IN"/>
              </w:rPr>
              <w:t>Control</w:t>
            </w:r>
          </w:p>
        </w:tc>
        <w:tc>
          <w:tcPr>
            <w:tcW w:w="6862" w:type="dxa"/>
            <w:shd w:val="clear" w:color="auto" w:fill="DAEEF3" w:themeFill="accent5" w:themeFillTint="33"/>
          </w:tcPr>
          <w:p w14:paraId="05399700" w14:textId="77777777" w:rsidR="00DF57E2" w:rsidRPr="00466B88" w:rsidRDefault="00DF57E2" w:rsidP="007942CC">
            <w:pPr>
              <w:pStyle w:val="Table"/>
            </w:pPr>
            <w:r w:rsidRPr="00466B88">
              <w:rPr>
                <w:lang w:bidi="hi-IN"/>
              </w:rPr>
              <w:t xml:space="preserve">Any action taken by management, the board, and other parties to manage risk and increase the likelihood that established objectives and goals will be achieved. Management plans, organizes, and directs the performance of sufficient actions to provide reasonable assurance that objectives and goals will be achieved. </w:t>
            </w:r>
          </w:p>
        </w:tc>
      </w:tr>
      <w:tr w:rsidR="00DF57E2" w:rsidRPr="00466B88" w14:paraId="7CC7C6BF" w14:textId="77777777" w:rsidTr="00DA65BA">
        <w:tc>
          <w:tcPr>
            <w:tcW w:w="1773" w:type="dxa"/>
            <w:shd w:val="clear" w:color="auto" w:fill="DAEEF3" w:themeFill="accent5" w:themeFillTint="33"/>
          </w:tcPr>
          <w:p w14:paraId="19906987" w14:textId="77777777" w:rsidR="00DF57E2" w:rsidRPr="00466B88" w:rsidRDefault="00DF57E2" w:rsidP="007942CC">
            <w:pPr>
              <w:pStyle w:val="Table"/>
              <w:rPr>
                <w:lang w:bidi="hi-IN"/>
              </w:rPr>
            </w:pPr>
            <w:r w:rsidRPr="00466B88">
              <w:rPr>
                <w:lang w:bidi="hi-IN"/>
              </w:rPr>
              <w:t>Control Activities</w:t>
            </w:r>
          </w:p>
        </w:tc>
        <w:tc>
          <w:tcPr>
            <w:tcW w:w="6862" w:type="dxa"/>
            <w:shd w:val="clear" w:color="auto" w:fill="DAEEF3" w:themeFill="accent5" w:themeFillTint="33"/>
          </w:tcPr>
          <w:p w14:paraId="542D2B32" w14:textId="77777777" w:rsidR="00DF57E2" w:rsidRPr="0070214A" w:rsidRDefault="00DF57E2" w:rsidP="007942CC">
            <w:pPr>
              <w:pStyle w:val="Table"/>
              <w:rPr>
                <w:b/>
                <w:bCs/>
                <w:lang w:bidi="hi-IN"/>
              </w:rPr>
            </w:pPr>
            <w:r w:rsidRPr="0070214A">
              <w:rPr>
                <w:b/>
                <w:bCs/>
                <w:lang w:bidi="hi-IN"/>
              </w:rPr>
              <w:t>One of the five components of the COSO Internal Control Integrated Framework.</w:t>
            </w:r>
          </w:p>
          <w:p w14:paraId="63DEFE1F" w14:textId="77777777" w:rsidR="00DF57E2" w:rsidRPr="00466B88" w:rsidRDefault="00DF57E2" w:rsidP="007942CC">
            <w:pPr>
              <w:pStyle w:val="Table"/>
              <w:rPr>
                <w:lang w:bidi="hi-IN"/>
              </w:rPr>
            </w:pPr>
            <w:r w:rsidRPr="00466B88">
              <w:rPr>
                <w:lang w:bidi="hi-IN"/>
              </w:rPr>
              <w:t xml:space="preserve">Control activities are the actions established through policies and procedures that help ensure that management’s directives to mitigate risks to the achievement of objectives are carried out. Control activities are performed at all levels of the entity, at various stages within business processes, and over the technology environment. They may be preventive or detective in nature and may encompass a range of manual and automated activities such as authorizations and approvals, verifications, reconciliations, and business performance reviews. Segregation of duties is typically built into the selection and development of control activities. Where segregation of duties is not practical, management selects and develops alternative control activities. </w:t>
            </w:r>
          </w:p>
        </w:tc>
      </w:tr>
      <w:tr w:rsidR="00DF57E2" w:rsidRPr="00466B88" w14:paraId="11CC310C" w14:textId="77777777" w:rsidTr="00DA65BA">
        <w:tc>
          <w:tcPr>
            <w:tcW w:w="1773" w:type="dxa"/>
            <w:shd w:val="clear" w:color="auto" w:fill="DAEEF3" w:themeFill="accent5" w:themeFillTint="33"/>
          </w:tcPr>
          <w:p w14:paraId="17208546" w14:textId="77777777" w:rsidR="00DF57E2" w:rsidRPr="00466B88" w:rsidRDefault="00DF57E2" w:rsidP="007942CC">
            <w:pPr>
              <w:pStyle w:val="Table"/>
              <w:rPr>
                <w:highlight w:val="yellow"/>
              </w:rPr>
            </w:pPr>
            <w:r w:rsidRPr="00466B88">
              <w:rPr>
                <w:lang w:bidi="hi-IN"/>
              </w:rPr>
              <w:t>Control Environment</w:t>
            </w:r>
          </w:p>
        </w:tc>
        <w:tc>
          <w:tcPr>
            <w:tcW w:w="6862" w:type="dxa"/>
            <w:shd w:val="clear" w:color="auto" w:fill="DAEEF3" w:themeFill="accent5" w:themeFillTint="33"/>
          </w:tcPr>
          <w:p w14:paraId="55A599E2" w14:textId="77777777" w:rsidR="00DF57E2" w:rsidRPr="0070214A" w:rsidRDefault="00DF57E2" w:rsidP="007942CC">
            <w:pPr>
              <w:pStyle w:val="Table"/>
              <w:rPr>
                <w:b/>
                <w:bCs/>
                <w:lang w:bidi="hi-IN"/>
              </w:rPr>
            </w:pPr>
            <w:r w:rsidRPr="0070214A">
              <w:rPr>
                <w:b/>
                <w:bCs/>
                <w:lang w:bidi="hi-IN"/>
              </w:rPr>
              <w:t xml:space="preserve">One of the five components of COSO Internal Control Integrated Framework. </w:t>
            </w:r>
          </w:p>
          <w:p w14:paraId="4D0D4991" w14:textId="77777777" w:rsidR="00DF57E2" w:rsidRPr="00466B88" w:rsidRDefault="00DF57E2" w:rsidP="007942CC">
            <w:pPr>
              <w:pStyle w:val="Table"/>
              <w:rPr>
                <w:lang w:bidi="hi-IN"/>
              </w:rPr>
            </w:pPr>
            <w:r w:rsidRPr="00466B88">
              <w:rPr>
                <w:lang w:bidi="hi-IN"/>
              </w:rPr>
              <w:t xml:space="preserve">The control environment is the set of standards, processes, and structures that provide the basis for carrying out internal control across the organization. The board of directors and senior management establish the tone at the top regarding the importance of internal control including expected standards of conduct. Management reinforces expectations at the various levels of the organization. The control environment comprises the integrity and ethical values of the organization; the parameters enabling the board of directors to carry out its governance oversight responsibilities; the organizational structure and assignment of authority and responsibility; the process for attracting, developing, and retaining competent individuals; and the rigor around performance measures, incentives, and rewards to drive accountability for performance. The resulting control environment has a pervasive impact on the overall system of internal control.  </w:t>
            </w:r>
          </w:p>
        </w:tc>
      </w:tr>
      <w:tr w:rsidR="00DF57E2" w:rsidRPr="00466B88" w14:paraId="0DA0597D" w14:textId="77777777" w:rsidTr="00DA65BA">
        <w:tc>
          <w:tcPr>
            <w:tcW w:w="1773" w:type="dxa"/>
            <w:shd w:val="clear" w:color="auto" w:fill="E5DFEC" w:themeFill="accent4" w:themeFillTint="33"/>
          </w:tcPr>
          <w:p w14:paraId="0C033006" w14:textId="77777777" w:rsidR="00DF57E2" w:rsidRPr="00466B88" w:rsidRDefault="00DF57E2" w:rsidP="007942CC">
            <w:pPr>
              <w:pStyle w:val="Table"/>
              <w:rPr>
                <w:lang w:bidi="hi-IN"/>
              </w:rPr>
            </w:pPr>
            <w:r w:rsidRPr="00466B88">
              <w:rPr>
                <w:lang w:bidi="hi-IN"/>
              </w:rPr>
              <w:t>Economy</w:t>
            </w:r>
          </w:p>
        </w:tc>
        <w:tc>
          <w:tcPr>
            <w:tcW w:w="6862" w:type="dxa"/>
            <w:shd w:val="clear" w:color="auto" w:fill="E5DFEC" w:themeFill="accent4" w:themeFillTint="33"/>
          </w:tcPr>
          <w:p w14:paraId="71560F92" w14:textId="77777777" w:rsidR="00DF57E2" w:rsidRPr="00466B88" w:rsidRDefault="00DF57E2" w:rsidP="007942CC">
            <w:pPr>
              <w:pStyle w:val="Table"/>
              <w:rPr>
                <w:lang w:bidi="hi-IN"/>
              </w:rPr>
            </w:pPr>
            <w:r w:rsidRPr="00466B88">
              <w:rPr>
                <w:lang w:bidi="hi-IN"/>
              </w:rPr>
              <w:t>Minimizing the cost resources used to achieve a certain level of outputs while having regard to quality - “spending less”</w:t>
            </w:r>
            <w:r w:rsidRPr="00466B88">
              <w:rPr>
                <w:rStyle w:val="FootnoteReference"/>
                <w:lang w:bidi="hi-IN"/>
              </w:rPr>
              <w:footnoteReference w:id="3"/>
            </w:r>
          </w:p>
        </w:tc>
      </w:tr>
      <w:tr w:rsidR="00DF57E2" w:rsidRPr="00466B88" w14:paraId="085DA8E6" w14:textId="77777777" w:rsidTr="00DA65BA">
        <w:tc>
          <w:tcPr>
            <w:tcW w:w="1773" w:type="dxa"/>
            <w:shd w:val="clear" w:color="auto" w:fill="E5DFEC" w:themeFill="accent4" w:themeFillTint="33"/>
          </w:tcPr>
          <w:p w14:paraId="5B95D737" w14:textId="77777777" w:rsidR="00DF57E2" w:rsidRPr="00466B88" w:rsidRDefault="00DF57E2" w:rsidP="007942CC">
            <w:pPr>
              <w:pStyle w:val="Table"/>
              <w:rPr>
                <w:lang w:bidi="hi-IN"/>
              </w:rPr>
            </w:pPr>
            <w:r w:rsidRPr="00466B88">
              <w:rPr>
                <w:lang w:bidi="hi-IN"/>
              </w:rPr>
              <w:lastRenderedPageBreak/>
              <w:t>Efficiency</w:t>
            </w:r>
          </w:p>
        </w:tc>
        <w:tc>
          <w:tcPr>
            <w:tcW w:w="6862" w:type="dxa"/>
            <w:shd w:val="clear" w:color="auto" w:fill="E5DFEC" w:themeFill="accent4" w:themeFillTint="33"/>
          </w:tcPr>
          <w:p w14:paraId="1E6E4BC6" w14:textId="77777777" w:rsidR="00DF57E2" w:rsidRPr="00466B88" w:rsidRDefault="00DF57E2" w:rsidP="007942CC">
            <w:pPr>
              <w:pStyle w:val="Table"/>
              <w:rPr>
                <w:lang w:bidi="hi-IN"/>
              </w:rPr>
            </w:pPr>
            <w:r w:rsidRPr="00466B88">
              <w:rPr>
                <w:lang w:bidi="hi-IN"/>
              </w:rPr>
              <w:t>The relationship between the output from goods or services and the resources required to produce them – “spending well”</w:t>
            </w:r>
            <w:r w:rsidRPr="00466B88">
              <w:rPr>
                <w:rStyle w:val="FootnoteReference"/>
                <w:lang w:bidi="hi-IN"/>
              </w:rPr>
              <w:footnoteReference w:id="4"/>
            </w:r>
          </w:p>
        </w:tc>
      </w:tr>
      <w:tr w:rsidR="00DF57E2" w:rsidRPr="00466B88" w14:paraId="61367004" w14:textId="77777777" w:rsidTr="00DA65BA">
        <w:tc>
          <w:tcPr>
            <w:tcW w:w="1773" w:type="dxa"/>
            <w:shd w:val="clear" w:color="auto" w:fill="E5DFEC" w:themeFill="accent4" w:themeFillTint="33"/>
          </w:tcPr>
          <w:p w14:paraId="0C253B5A" w14:textId="77777777" w:rsidR="00DF57E2" w:rsidRPr="00466B88" w:rsidRDefault="00DF57E2" w:rsidP="007942CC">
            <w:pPr>
              <w:pStyle w:val="Table"/>
              <w:rPr>
                <w:lang w:bidi="hi-IN"/>
              </w:rPr>
            </w:pPr>
            <w:r w:rsidRPr="00466B88">
              <w:rPr>
                <w:lang w:bidi="hi-IN"/>
              </w:rPr>
              <w:t>Effectiveness</w:t>
            </w:r>
          </w:p>
        </w:tc>
        <w:tc>
          <w:tcPr>
            <w:tcW w:w="6862" w:type="dxa"/>
            <w:shd w:val="clear" w:color="auto" w:fill="E5DFEC" w:themeFill="accent4" w:themeFillTint="33"/>
          </w:tcPr>
          <w:p w14:paraId="0B629D3A" w14:textId="77777777" w:rsidR="00DF57E2" w:rsidRPr="00466B88" w:rsidRDefault="00DF57E2" w:rsidP="007942CC">
            <w:pPr>
              <w:pStyle w:val="Table"/>
              <w:rPr>
                <w:lang w:bidi="hi-IN"/>
              </w:rPr>
            </w:pPr>
            <w:r w:rsidRPr="00466B88">
              <w:rPr>
                <w:lang w:bidi="hi-IN"/>
              </w:rPr>
              <w:t>The extent to which objectives are achieved and the relationship between intended and actual impact of a service – “spending wisely”</w:t>
            </w:r>
            <w:r w:rsidRPr="00466B88">
              <w:rPr>
                <w:rStyle w:val="FootnoteReference"/>
                <w:lang w:bidi="hi-IN"/>
              </w:rPr>
              <w:footnoteReference w:id="5"/>
            </w:r>
          </w:p>
        </w:tc>
      </w:tr>
      <w:tr w:rsidR="00DF57E2" w:rsidRPr="00466B88" w14:paraId="1FD514C3" w14:textId="77777777" w:rsidTr="00DA65BA">
        <w:tc>
          <w:tcPr>
            <w:tcW w:w="1773" w:type="dxa"/>
            <w:shd w:val="clear" w:color="auto" w:fill="EAF1DD" w:themeFill="accent3" w:themeFillTint="33"/>
          </w:tcPr>
          <w:p w14:paraId="0F2FD576" w14:textId="77777777" w:rsidR="00DF57E2" w:rsidRPr="00466B88" w:rsidRDefault="00DF57E2" w:rsidP="007942CC">
            <w:pPr>
              <w:pStyle w:val="Table"/>
              <w:rPr>
                <w:lang w:bidi="hi-IN"/>
              </w:rPr>
            </w:pPr>
            <w:r w:rsidRPr="00466B88">
              <w:rPr>
                <w:lang w:bidi="hi-IN"/>
              </w:rPr>
              <w:t>Enterprise Risk Management</w:t>
            </w:r>
          </w:p>
        </w:tc>
        <w:tc>
          <w:tcPr>
            <w:tcW w:w="6862" w:type="dxa"/>
            <w:shd w:val="clear" w:color="auto" w:fill="EAF1DD" w:themeFill="accent3" w:themeFillTint="33"/>
          </w:tcPr>
          <w:p w14:paraId="391CC597" w14:textId="77777777" w:rsidR="00DF57E2" w:rsidRPr="00466B88" w:rsidRDefault="00DF57E2" w:rsidP="007942CC">
            <w:pPr>
              <w:pStyle w:val="Table"/>
              <w:rPr>
                <w:lang w:bidi="hi-IN"/>
              </w:rPr>
            </w:pPr>
            <w:r w:rsidRPr="00466B88">
              <w:rPr>
                <w:lang w:bidi="hi-IN"/>
              </w:rPr>
              <w:t>The culture, capabilities</w:t>
            </w:r>
            <w:r>
              <w:rPr>
                <w:lang w:bidi="hi-IN"/>
              </w:rPr>
              <w:t>,</w:t>
            </w:r>
            <w:r w:rsidRPr="00466B88">
              <w:rPr>
                <w:lang w:bidi="hi-IN"/>
              </w:rPr>
              <w:t xml:space="preserve"> and practices, integrated with strategy-setting and its performance, that organizations rely on to manage risk in creating, preserving</w:t>
            </w:r>
            <w:r>
              <w:rPr>
                <w:lang w:bidi="hi-IN"/>
              </w:rPr>
              <w:t>,</w:t>
            </w:r>
            <w:r w:rsidRPr="00466B88">
              <w:rPr>
                <w:lang w:bidi="hi-IN"/>
              </w:rPr>
              <w:t xml:space="preserve"> and realizing value.</w:t>
            </w:r>
          </w:p>
        </w:tc>
      </w:tr>
      <w:tr w:rsidR="00DF57E2" w:rsidRPr="00466B88" w14:paraId="67B3E927" w14:textId="77777777" w:rsidTr="00DA65BA">
        <w:tc>
          <w:tcPr>
            <w:tcW w:w="1773" w:type="dxa"/>
          </w:tcPr>
          <w:p w14:paraId="763D44BD" w14:textId="77777777" w:rsidR="00DF57E2" w:rsidRPr="00466B88" w:rsidRDefault="00DF57E2" w:rsidP="007942CC">
            <w:pPr>
              <w:pStyle w:val="Table"/>
              <w:rPr>
                <w:lang w:bidi="hi-IN"/>
              </w:rPr>
            </w:pPr>
            <w:r w:rsidRPr="00466B88">
              <w:rPr>
                <w:lang w:bidi="hi-IN"/>
              </w:rPr>
              <w:t>Ethics</w:t>
            </w:r>
          </w:p>
        </w:tc>
        <w:tc>
          <w:tcPr>
            <w:tcW w:w="6862" w:type="dxa"/>
          </w:tcPr>
          <w:p w14:paraId="2783006C" w14:textId="77777777" w:rsidR="0070214A" w:rsidRPr="00466B88" w:rsidRDefault="00DF57E2" w:rsidP="007942CC">
            <w:pPr>
              <w:pStyle w:val="Table"/>
              <w:rPr>
                <w:lang w:bidi="hi-IN"/>
              </w:rPr>
            </w:pPr>
            <w:r w:rsidRPr="00466B88">
              <w:rPr>
                <w:lang w:bidi="hi-IN"/>
              </w:rPr>
              <w:t xml:space="preserve">Ethics in the public sector cover four main areas: setting public service roles and values as well as responsibilities and levels of authority and accountability; measures to prevent conflicts of interest and ways of resolving them; setting the rules (standards) of conduct of public servants; setting rules for dealing with serious irregularities and fraud. Management responsible for the </w:t>
            </w:r>
            <w:r w:rsidRPr="00466B88">
              <w:t xml:space="preserve">financial management and control </w:t>
            </w:r>
            <w:r w:rsidRPr="00466B88">
              <w:rPr>
                <w:lang w:bidi="hi-IN"/>
              </w:rPr>
              <w:t xml:space="preserve">system is expected to make use of tools promoting and raising awareness of ethical values in management and control. </w:t>
            </w:r>
            <w:r w:rsidRPr="00466B88">
              <w:rPr>
                <w:lang w:bidi="hi-IN"/>
              </w:rPr>
              <w:br/>
              <w:t>For internal auditors in particular, ethics imply the four principles of integrity, objectivity, confidentiality</w:t>
            </w:r>
            <w:r>
              <w:rPr>
                <w:lang w:bidi="hi-IN"/>
              </w:rPr>
              <w:t>,</w:t>
            </w:r>
            <w:r w:rsidRPr="00466B88">
              <w:rPr>
                <w:lang w:bidi="hi-IN"/>
              </w:rPr>
              <w:t xml:space="preserve"> and competency.</w:t>
            </w:r>
          </w:p>
        </w:tc>
      </w:tr>
      <w:tr w:rsidR="00DF57E2" w:rsidRPr="00466B88" w14:paraId="6573CAAA" w14:textId="77777777" w:rsidTr="00DA65BA">
        <w:tc>
          <w:tcPr>
            <w:tcW w:w="1773" w:type="dxa"/>
          </w:tcPr>
          <w:p w14:paraId="7C0466AA" w14:textId="77777777" w:rsidR="00DF57E2" w:rsidRPr="00466B88" w:rsidRDefault="00DF57E2" w:rsidP="007942CC">
            <w:pPr>
              <w:pStyle w:val="Table"/>
            </w:pPr>
            <w:r w:rsidRPr="00466B88">
              <w:rPr>
                <w:lang w:bidi="hi-IN"/>
              </w:rPr>
              <w:t>External Service Provider</w:t>
            </w:r>
          </w:p>
        </w:tc>
        <w:tc>
          <w:tcPr>
            <w:tcW w:w="6862" w:type="dxa"/>
          </w:tcPr>
          <w:p w14:paraId="4FE37E5E" w14:textId="77777777" w:rsidR="00DF57E2" w:rsidRPr="00466B88" w:rsidRDefault="00DF57E2" w:rsidP="007942CC">
            <w:pPr>
              <w:pStyle w:val="Table"/>
            </w:pPr>
            <w:r w:rsidRPr="00466B88">
              <w:rPr>
                <w:lang w:bidi="hi-IN"/>
              </w:rPr>
              <w:t xml:space="preserve">A person or firm outside of the organization that has special knowledge, skill, and experience in a particular discipline. </w:t>
            </w:r>
          </w:p>
        </w:tc>
      </w:tr>
      <w:tr w:rsidR="00DF57E2" w:rsidRPr="00466B88" w14:paraId="216AE982" w14:textId="77777777" w:rsidTr="00DA65BA">
        <w:tc>
          <w:tcPr>
            <w:tcW w:w="1773" w:type="dxa"/>
          </w:tcPr>
          <w:p w14:paraId="2632D8E4" w14:textId="77777777" w:rsidR="00DF57E2" w:rsidRPr="00466B88" w:rsidRDefault="00DF57E2" w:rsidP="007942CC">
            <w:pPr>
              <w:pStyle w:val="Table"/>
              <w:rPr>
                <w:lang w:bidi="hi-IN"/>
              </w:rPr>
            </w:pPr>
            <w:r w:rsidRPr="00466B88">
              <w:rPr>
                <w:bCs/>
                <w:lang w:bidi="hi-IN"/>
              </w:rPr>
              <w:t>External Environment</w:t>
            </w:r>
          </w:p>
        </w:tc>
        <w:tc>
          <w:tcPr>
            <w:tcW w:w="6862" w:type="dxa"/>
          </w:tcPr>
          <w:p w14:paraId="07B76358" w14:textId="77777777" w:rsidR="00DF57E2" w:rsidRPr="00466B88" w:rsidRDefault="00DF57E2" w:rsidP="007942CC">
            <w:pPr>
              <w:pStyle w:val="Table"/>
              <w:rPr>
                <w:lang w:bidi="hi-IN"/>
              </w:rPr>
            </w:pPr>
            <w:r w:rsidRPr="00466B88">
              <w:rPr>
                <w:lang w:bidi="hi-IN"/>
              </w:rPr>
              <w:t>Anything outside of the entity that influences the ability to achieve its strategy and business objectives</w:t>
            </w:r>
            <w:r>
              <w:rPr>
                <w:lang w:bidi="hi-IN"/>
              </w:rPr>
              <w:t>.</w:t>
            </w:r>
          </w:p>
        </w:tc>
      </w:tr>
      <w:tr w:rsidR="00DF57E2" w:rsidRPr="00466B88" w14:paraId="7B6C0C4C" w14:textId="77777777" w:rsidTr="00DA65BA">
        <w:tc>
          <w:tcPr>
            <w:tcW w:w="1773" w:type="dxa"/>
          </w:tcPr>
          <w:p w14:paraId="51FD9CEF" w14:textId="77777777" w:rsidR="00DF57E2" w:rsidRPr="00466B88" w:rsidRDefault="00DF57E2" w:rsidP="007942CC">
            <w:pPr>
              <w:pStyle w:val="Table"/>
              <w:rPr>
                <w:bCs/>
                <w:lang w:bidi="hi-IN"/>
              </w:rPr>
            </w:pPr>
            <w:r w:rsidRPr="00466B88">
              <w:rPr>
                <w:bCs/>
                <w:lang w:bidi="hi-IN"/>
              </w:rPr>
              <w:t>Financial Management &amp; Control</w:t>
            </w:r>
          </w:p>
        </w:tc>
        <w:tc>
          <w:tcPr>
            <w:tcW w:w="6862" w:type="dxa"/>
          </w:tcPr>
          <w:p w14:paraId="097A70BE" w14:textId="77777777" w:rsidR="00DF57E2" w:rsidRPr="00466B88" w:rsidRDefault="00DF57E2" w:rsidP="007942CC">
            <w:pPr>
              <w:pStyle w:val="Table"/>
              <w:rPr>
                <w:lang w:bidi="hi-IN"/>
              </w:rPr>
            </w:pPr>
            <w:r w:rsidRPr="00466B88">
              <w:rPr>
                <w:lang w:bidi="hi-IN"/>
              </w:rPr>
              <w:t>Term developed by the European Union which means the comprehensive internal control system that is established by and is the responsibility of the head of the entity, and which, together with risk management, provides reasonable assurances that the budget and other public funds will be used properly, economically, efficiently</w:t>
            </w:r>
            <w:r>
              <w:rPr>
                <w:lang w:bidi="hi-IN"/>
              </w:rPr>
              <w:t>,</w:t>
            </w:r>
            <w:r w:rsidRPr="00466B88">
              <w:rPr>
                <w:lang w:bidi="hi-IN"/>
              </w:rPr>
              <w:t xml:space="preserve"> and effectively in the accomplishment of relevant objectives of the entity. </w:t>
            </w:r>
          </w:p>
          <w:p w14:paraId="3943DC6D" w14:textId="77777777" w:rsidR="00DF57E2" w:rsidRPr="00466B88" w:rsidRDefault="00DF57E2" w:rsidP="007942CC">
            <w:pPr>
              <w:pStyle w:val="Table"/>
              <w:rPr>
                <w:lang w:bidi="hi-IN"/>
              </w:rPr>
            </w:pPr>
            <w:r w:rsidRPr="00466B88">
              <w:rPr>
                <w:lang w:bidi="hi-IN"/>
              </w:rPr>
              <w:t xml:space="preserve">This term is closely related with the term internal control but is often used to also capture the generic accountability of public sector managers to their stakeholders. </w:t>
            </w:r>
          </w:p>
        </w:tc>
      </w:tr>
      <w:tr w:rsidR="00DF57E2" w:rsidRPr="00466B88" w14:paraId="77D1FBE7" w14:textId="77777777" w:rsidTr="00DA65BA">
        <w:tc>
          <w:tcPr>
            <w:tcW w:w="1773" w:type="dxa"/>
          </w:tcPr>
          <w:p w14:paraId="7B20C37B" w14:textId="77777777" w:rsidR="00DF57E2" w:rsidRPr="00466B88" w:rsidRDefault="00DF57E2" w:rsidP="007942CC">
            <w:pPr>
              <w:pStyle w:val="Table"/>
            </w:pPr>
            <w:r w:rsidRPr="00466B88">
              <w:rPr>
                <w:lang w:bidi="hi-IN"/>
              </w:rPr>
              <w:t>Fraud</w:t>
            </w:r>
          </w:p>
        </w:tc>
        <w:tc>
          <w:tcPr>
            <w:tcW w:w="6862" w:type="dxa"/>
          </w:tcPr>
          <w:p w14:paraId="32F839E6" w14:textId="77777777" w:rsidR="00DF57E2" w:rsidRPr="00466B88" w:rsidRDefault="00DF57E2" w:rsidP="007942CC">
            <w:pPr>
              <w:pStyle w:val="Table"/>
            </w:pPr>
            <w:r w:rsidRPr="00466B88">
              <w:rPr>
                <w:lang w:bidi="hi-IN"/>
              </w:rPr>
              <w:t xml:space="preserve">Any illegal act characterized by deceit, concealment, or violation of trust. These acts are not dependent upon the threat of violence or physical force. Frauds are perpetrated by parties and organizations to obtain money, property, or services; to avoid payment or loss of services; or to secure personal or business advantage. </w:t>
            </w:r>
          </w:p>
        </w:tc>
      </w:tr>
      <w:tr w:rsidR="00DF57E2" w:rsidRPr="00466B88" w14:paraId="75CF26ED" w14:textId="77777777" w:rsidTr="00DA65BA">
        <w:tc>
          <w:tcPr>
            <w:tcW w:w="1773" w:type="dxa"/>
          </w:tcPr>
          <w:p w14:paraId="4DB9B478" w14:textId="77777777" w:rsidR="00DF57E2" w:rsidRPr="00466B88" w:rsidRDefault="00DF57E2" w:rsidP="007942CC">
            <w:pPr>
              <w:pStyle w:val="Table"/>
            </w:pPr>
            <w:r w:rsidRPr="00466B88">
              <w:rPr>
                <w:lang w:bidi="hi-IN"/>
              </w:rPr>
              <w:t>Governance</w:t>
            </w:r>
          </w:p>
        </w:tc>
        <w:tc>
          <w:tcPr>
            <w:tcW w:w="6862" w:type="dxa"/>
          </w:tcPr>
          <w:p w14:paraId="684D3AA1" w14:textId="77777777" w:rsidR="00DF57E2" w:rsidRPr="00466B88" w:rsidRDefault="00DF57E2" w:rsidP="007942CC">
            <w:pPr>
              <w:pStyle w:val="Table"/>
            </w:pPr>
            <w:r w:rsidRPr="00466B88">
              <w:rPr>
                <w:lang w:bidi="hi-IN"/>
              </w:rPr>
              <w:t xml:space="preserve">The combination of processes and structures implemented by the </w:t>
            </w:r>
            <w:r w:rsidRPr="00466B88">
              <w:t>governing bodies</w:t>
            </w:r>
            <w:r w:rsidRPr="00466B88">
              <w:rPr>
                <w:lang w:bidi="hi-IN"/>
              </w:rPr>
              <w:t xml:space="preserve"> to inform, direct, manage, and monitor the activities of the organization toward the achievement of its objectives. That is: the </w:t>
            </w:r>
            <w:r w:rsidRPr="00466B88">
              <w:rPr>
                <w:lang w:bidi="hi-IN"/>
              </w:rPr>
              <w:lastRenderedPageBreak/>
              <w:t>systems and processes that ensure the overall effectiveness of an entity – whether a business, government</w:t>
            </w:r>
            <w:r>
              <w:rPr>
                <w:lang w:bidi="hi-IN"/>
              </w:rPr>
              <w:t>,</w:t>
            </w:r>
            <w:r w:rsidRPr="00466B88">
              <w:rPr>
                <w:lang w:bidi="hi-IN"/>
              </w:rPr>
              <w:t xml:space="preserve"> or multilateral institution.</w:t>
            </w:r>
          </w:p>
        </w:tc>
      </w:tr>
      <w:tr w:rsidR="00DF57E2" w:rsidRPr="00466B88" w14:paraId="09B4686C" w14:textId="77777777" w:rsidTr="00DA65BA">
        <w:tc>
          <w:tcPr>
            <w:tcW w:w="1773" w:type="dxa"/>
            <w:shd w:val="clear" w:color="auto" w:fill="EAF1DD" w:themeFill="accent3" w:themeFillTint="33"/>
          </w:tcPr>
          <w:p w14:paraId="70C3CFA2" w14:textId="77777777" w:rsidR="00DF57E2" w:rsidRPr="00466B88" w:rsidRDefault="00DF57E2" w:rsidP="007942CC">
            <w:pPr>
              <w:pStyle w:val="Table"/>
              <w:rPr>
                <w:lang w:bidi="hi-IN"/>
              </w:rPr>
            </w:pPr>
            <w:r w:rsidRPr="00466B88">
              <w:rPr>
                <w:lang w:bidi="hi-IN"/>
              </w:rPr>
              <w:lastRenderedPageBreak/>
              <w:t>Impact</w:t>
            </w:r>
          </w:p>
        </w:tc>
        <w:tc>
          <w:tcPr>
            <w:tcW w:w="6862" w:type="dxa"/>
            <w:shd w:val="clear" w:color="auto" w:fill="EAF1DD" w:themeFill="accent3" w:themeFillTint="33"/>
          </w:tcPr>
          <w:p w14:paraId="23017363" w14:textId="77777777" w:rsidR="00DF57E2" w:rsidRPr="00466B88" w:rsidRDefault="00DF57E2" w:rsidP="007942CC">
            <w:pPr>
              <w:pStyle w:val="Table"/>
              <w:rPr>
                <w:lang w:bidi="hi-IN"/>
              </w:rPr>
            </w:pPr>
            <w:r w:rsidRPr="00466B88">
              <w:rPr>
                <w:lang w:bidi="hi-IN"/>
              </w:rPr>
              <w:t xml:space="preserve">The result or effect of an event. There may be a range of possible impacts associated with an event. The impact of an event may be positive (opportunities) or negative (risks) relative to the entity’s strategy or business objectives. </w:t>
            </w:r>
            <w:r w:rsidRPr="00466B88">
              <w:rPr>
                <w:rStyle w:val="FootnoteReference"/>
                <w:lang w:bidi="hi-IN"/>
              </w:rPr>
              <w:footnoteReference w:id="6"/>
            </w:r>
          </w:p>
        </w:tc>
      </w:tr>
      <w:tr w:rsidR="00DF57E2" w:rsidRPr="00466B88" w14:paraId="506FE4B5" w14:textId="77777777" w:rsidTr="00DA65BA">
        <w:tc>
          <w:tcPr>
            <w:tcW w:w="1773" w:type="dxa"/>
            <w:shd w:val="clear" w:color="auto" w:fill="EAF1DD" w:themeFill="accent3" w:themeFillTint="33"/>
          </w:tcPr>
          <w:p w14:paraId="4094A808" w14:textId="77777777" w:rsidR="00DF57E2" w:rsidRPr="00466B88" w:rsidRDefault="00DF57E2" w:rsidP="007942CC">
            <w:pPr>
              <w:pStyle w:val="Table"/>
              <w:rPr>
                <w:lang w:bidi="hi-IN"/>
              </w:rPr>
            </w:pPr>
            <w:r w:rsidRPr="00466B88">
              <w:rPr>
                <w:lang w:bidi="hi-IN"/>
              </w:rPr>
              <w:t>Inherent Risk</w:t>
            </w:r>
          </w:p>
        </w:tc>
        <w:tc>
          <w:tcPr>
            <w:tcW w:w="6862" w:type="dxa"/>
            <w:shd w:val="clear" w:color="auto" w:fill="EAF1DD" w:themeFill="accent3" w:themeFillTint="33"/>
          </w:tcPr>
          <w:p w14:paraId="21FF0BAE" w14:textId="77777777" w:rsidR="00DF57E2" w:rsidRPr="00275C05" w:rsidRDefault="00DF57E2" w:rsidP="007942CC">
            <w:pPr>
              <w:pStyle w:val="Table"/>
              <w:rPr>
                <w:rFonts w:cstheme="majorHAnsi"/>
                <w:color w:val="000000" w:themeColor="text1"/>
                <w:lang w:bidi="hi-IN"/>
              </w:rPr>
            </w:pPr>
            <w:r w:rsidRPr="00275C05">
              <w:rPr>
                <w:rFonts w:cstheme="majorHAnsi"/>
                <w:color w:val="000000" w:themeColor="text1"/>
                <w:lang w:bidi="hi-IN"/>
              </w:rPr>
              <w:t xml:space="preserve">The risk to an </w:t>
            </w:r>
            <w:r w:rsidRPr="00275C05">
              <w:rPr>
                <w:rFonts w:cstheme="majorHAnsi"/>
                <w:color w:val="000000" w:themeColor="text1"/>
              </w:rPr>
              <w:t>entity in the absence of any direct or focused actions by management to alter its severity</w:t>
            </w:r>
            <w:r>
              <w:rPr>
                <w:rFonts w:cstheme="majorHAnsi"/>
                <w:color w:val="000000" w:themeColor="text1"/>
              </w:rPr>
              <w:t>.</w:t>
            </w:r>
          </w:p>
        </w:tc>
      </w:tr>
      <w:tr w:rsidR="00DF57E2" w:rsidRPr="00466B88" w14:paraId="0A3DAE06" w14:textId="77777777" w:rsidTr="00DA65BA">
        <w:tc>
          <w:tcPr>
            <w:tcW w:w="1773" w:type="dxa"/>
            <w:shd w:val="clear" w:color="auto" w:fill="DAEEF3" w:themeFill="accent5" w:themeFillTint="33"/>
          </w:tcPr>
          <w:p w14:paraId="6FA5CD11" w14:textId="77777777" w:rsidR="00DF57E2" w:rsidRPr="00466B88" w:rsidRDefault="00DF57E2" w:rsidP="007942CC">
            <w:pPr>
              <w:pStyle w:val="Table"/>
              <w:rPr>
                <w:lang w:bidi="hi-IN"/>
              </w:rPr>
            </w:pPr>
            <w:r w:rsidRPr="00466B88">
              <w:rPr>
                <w:lang w:bidi="hi-IN"/>
              </w:rPr>
              <w:t>Information &amp; Communication</w:t>
            </w:r>
          </w:p>
        </w:tc>
        <w:tc>
          <w:tcPr>
            <w:tcW w:w="6862" w:type="dxa"/>
            <w:shd w:val="clear" w:color="auto" w:fill="DAEEF3" w:themeFill="accent5" w:themeFillTint="33"/>
          </w:tcPr>
          <w:p w14:paraId="46B8F2CC" w14:textId="77777777" w:rsidR="00DF57E2" w:rsidRPr="0070214A" w:rsidRDefault="00DF57E2" w:rsidP="007942CC">
            <w:pPr>
              <w:pStyle w:val="Table"/>
              <w:rPr>
                <w:b/>
                <w:bCs/>
                <w:lang w:bidi="hi-IN"/>
              </w:rPr>
            </w:pPr>
            <w:r w:rsidRPr="0070214A">
              <w:rPr>
                <w:b/>
                <w:bCs/>
                <w:lang w:bidi="hi-IN"/>
              </w:rPr>
              <w:t xml:space="preserve">One of the five components of COSO </w:t>
            </w:r>
            <w:r w:rsidRPr="0070214A">
              <w:rPr>
                <w:b/>
                <w:bCs/>
                <w:i/>
                <w:lang w:bidi="hi-IN"/>
              </w:rPr>
              <w:t>Internal Control Integrated Framework</w:t>
            </w:r>
            <w:r w:rsidRPr="0070214A">
              <w:rPr>
                <w:b/>
                <w:bCs/>
                <w:lang w:bidi="hi-IN"/>
              </w:rPr>
              <w:t xml:space="preserve">. </w:t>
            </w:r>
          </w:p>
          <w:p w14:paraId="40474C0F" w14:textId="77777777" w:rsidR="00DF57E2" w:rsidRPr="00466B88" w:rsidRDefault="00DF57E2" w:rsidP="007942CC">
            <w:pPr>
              <w:pStyle w:val="Table"/>
              <w:rPr>
                <w:lang w:bidi="hi-IN"/>
              </w:rPr>
            </w:pPr>
            <w:r w:rsidRPr="00466B88">
              <w:rPr>
                <w:lang w:bidi="hi-IN"/>
              </w:rPr>
              <w:t>Information is necessary for the entity to carry out internal</w:t>
            </w:r>
            <w:r w:rsidRPr="00466B88">
              <w:rPr>
                <w:lang w:bidi="hi-IN"/>
              </w:rPr>
              <w:br/>
              <w:t xml:space="preserve">control responsibilities in support of achievement of its objectives. Communication occurs both internally and externally and provides the organization with the information needed to carry out day-to-day internal control activities. Communication enables personnel to understand internal control responsibilities and their importance to the achievement of objectives. </w:t>
            </w:r>
          </w:p>
        </w:tc>
      </w:tr>
      <w:tr w:rsidR="00DF57E2" w:rsidRPr="00466B88" w14:paraId="63173260" w14:textId="77777777" w:rsidTr="00DA65BA">
        <w:tc>
          <w:tcPr>
            <w:tcW w:w="1773" w:type="dxa"/>
            <w:shd w:val="clear" w:color="auto" w:fill="DAEEF3" w:themeFill="accent5" w:themeFillTint="33"/>
          </w:tcPr>
          <w:p w14:paraId="7B49D619" w14:textId="77777777" w:rsidR="00DF57E2" w:rsidRPr="00466B88" w:rsidRDefault="00DF57E2" w:rsidP="007942CC">
            <w:pPr>
              <w:pStyle w:val="Table"/>
            </w:pPr>
            <w:r w:rsidRPr="00466B88">
              <w:rPr>
                <w:lang w:bidi="hi-IN"/>
              </w:rPr>
              <w:t>Information Technology Controls</w:t>
            </w:r>
          </w:p>
        </w:tc>
        <w:tc>
          <w:tcPr>
            <w:tcW w:w="6862" w:type="dxa"/>
            <w:shd w:val="clear" w:color="auto" w:fill="DAEEF3" w:themeFill="accent5" w:themeFillTint="33"/>
          </w:tcPr>
          <w:p w14:paraId="5AA76694" w14:textId="77777777" w:rsidR="00DF57E2" w:rsidRPr="00466B88" w:rsidRDefault="00DF57E2" w:rsidP="007942CC">
            <w:pPr>
              <w:pStyle w:val="Table"/>
            </w:pPr>
            <w:r w:rsidRPr="00466B88">
              <w:rPr>
                <w:lang w:bidi="hi-IN"/>
              </w:rPr>
              <w:t xml:space="preserve">Controls that support business management and governance as well as provide general and technical controls over information technology infrastructures such as applications, information, infrastructure, and people. </w:t>
            </w:r>
          </w:p>
        </w:tc>
      </w:tr>
      <w:tr w:rsidR="00DF57E2" w:rsidRPr="00466B88" w14:paraId="53BB0D7D" w14:textId="77777777" w:rsidTr="00DA65BA">
        <w:tc>
          <w:tcPr>
            <w:tcW w:w="1773" w:type="dxa"/>
            <w:shd w:val="clear" w:color="auto" w:fill="DAEEF3" w:themeFill="accent5" w:themeFillTint="33"/>
          </w:tcPr>
          <w:p w14:paraId="0BF47B53" w14:textId="77777777" w:rsidR="00DF57E2" w:rsidRPr="00466B88" w:rsidRDefault="00DF57E2" w:rsidP="007942CC">
            <w:pPr>
              <w:pStyle w:val="Table"/>
            </w:pPr>
            <w:r w:rsidRPr="00466B88">
              <w:rPr>
                <w:lang w:bidi="hi-IN"/>
              </w:rPr>
              <w:t>Information Technology Governance</w:t>
            </w:r>
          </w:p>
        </w:tc>
        <w:tc>
          <w:tcPr>
            <w:tcW w:w="6862" w:type="dxa"/>
            <w:shd w:val="clear" w:color="auto" w:fill="DAEEF3" w:themeFill="accent5" w:themeFillTint="33"/>
          </w:tcPr>
          <w:p w14:paraId="3D2BC897" w14:textId="77777777" w:rsidR="00DF57E2" w:rsidRPr="00466B88" w:rsidRDefault="00DF57E2" w:rsidP="007942CC">
            <w:pPr>
              <w:pStyle w:val="Table"/>
            </w:pPr>
            <w:r w:rsidRPr="00466B88">
              <w:rPr>
                <w:lang w:bidi="hi-IN"/>
              </w:rPr>
              <w:t xml:space="preserve">Consists of the leadership, organizational structures, and processes that ensure that the enterprise’s information technology supports the organization’s strategies and objectives. </w:t>
            </w:r>
          </w:p>
        </w:tc>
      </w:tr>
      <w:tr w:rsidR="00DF57E2" w:rsidRPr="00466B88" w14:paraId="58AACAC5" w14:textId="77777777" w:rsidTr="00DA65BA">
        <w:tc>
          <w:tcPr>
            <w:tcW w:w="1773" w:type="dxa"/>
            <w:shd w:val="clear" w:color="auto" w:fill="DAEEF3" w:themeFill="accent5" w:themeFillTint="33"/>
          </w:tcPr>
          <w:p w14:paraId="0D05D546" w14:textId="77777777" w:rsidR="00DF57E2" w:rsidRPr="00466B88" w:rsidRDefault="00DF57E2" w:rsidP="007942CC">
            <w:pPr>
              <w:pStyle w:val="Table"/>
            </w:pPr>
            <w:r w:rsidRPr="00466B88">
              <w:t>Internal Control</w:t>
            </w:r>
          </w:p>
        </w:tc>
        <w:tc>
          <w:tcPr>
            <w:tcW w:w="6862" w:type="dxa"/>
            <w:shd w:val="clear" w:color="auto" w:fill="DAEEF3" w:themeFill="accent5" w:themeFillTint="33"/>
          </w:tcPr>
          <w:p w14:paraId="33D39FEB" w14:textId="77777777" w:rsidR="00DF57E2" w:rsidRPr="00466B88" w:rsidRDefault="00DF57E2" w:rsidP="007942CC">
            <w:pPr>
              <w:pStyle w:val="Table"/>
            </w:pPr>
            <w:r w:rsidRPr="00466B88">
              <w:t>A process, effected by an entity’s board of directors, management and other personnel, designed to provide reasonable assurance regarding the achievement of objectives relating to operations, reporting and compliance.</w:t>
            </w:r>
          </w:p>
        </w:tc>
      </w:tr>
      <w:tr w:rsidR="00DF57E2" w:rsidRPr="00466B88" w14:paraId="30EDC836" w14:textId="77777777" w:rsidTr="00DA65BA">
        <w:tc>
          <w:tcPr>
            <w:tcW w:w="1773" w:type="dxa"/>
            <w:shd w:val="clear" w:color="auto" w:fill="EAF1DD" w:themeFill="accent3" w:themeFillTint="33"/>
          </w:tcPr>
          <w:p w14:paraId="2794AFDC" w14:textId="77777777" w:rsidR="00DF57E2" w:rsidRPr="00466B88" w:rsidRDefault="00DF57E2" w:rsidP="007942CC">
            <w:pPr>
              <w:pStyle w:val="Table"/>
              <w:rPr>
                <w:rFonts w:ascii="Calibri" w:eastAsia="SimSun" w:hAnsi="Calibri" w:cs="Calibri"/>
                <w:kern w:val="3"/>
                <w:lang w:eastAsia="zh-CN" w:bidi="hi-IN"/>
              </w:rPr>
            </w:pPr>
            <w:r w:rsidRPr="00466B88">
              <w:rPr>
                <w:bCs/>
                <w:lang w:bidi="hi-IN"/>
              </w:rPr>
              <w:t>Likelihood</w:t>
            </w:r>
          </w:p>
        </w:tc>
        <w:tc>
          <w:tcPr>
            <w:tcW w:w="6862" w:type="dxa"/>
            <w:shd w:val="clear" w:color="auto" w:fill="EAF1DD" w:themeFill="accent3" w:themeFillTint="33"/>
          </w:tcPr>
          <w:p w14:paraId="0E2B5F25" w14:textId="77777777" w:rsidR="00DF57E2" w:rsidRPr="00466B88" w:rsidRDefault="00DF57E2" w:rsidP="007942CC">
            <w:pPr>
              <w:pStyle w:val="Table"/>
              <w:rPr>
                <w:lang w:bidi="hi-IN"/>
              </w:rPr>
            </w:pPr>
            <w:r w:rsidRPr="00466B88">
              <w:rPr>
                <w:lang w:bidi="hi-IN"/>
              </w:rPr>
              <w:t xml:space="preserve">The possibility that a given event will occur. </w:t>
            </w:r>
          </w:p>
        </w:tc>
      </w:tr>
      <w:tr w:rsidR="00DF57E2" w:rsidRPr="00466B88" w14:paraId="231BD78D" w14:textId="77777777" w:rsidTr="00DA65BA">
        <w:tc>
          <w:tcPr>
            <w:tcW w:w="1773" w:type="dxa"/>
            <w:shd w:val="clear" w:color="auto" w:fill="DAEEF3" w:themeFill="accent5" w:themeFillTint="33"/>
          </w:tcPr>
          <w:p w14:paraId="2D269B2E" w14:textId="77777777" w:rsidR="00DF57E2" w:rsidRPr="00466B88" w:rsidRDefault="00DF57E2"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Monitoring Activities</w:t>
            </w:r>
          </w:p>
        </w:tc>
        <w:tc>
          <w:tcPr>
            <w:tcW w:w="6862" w:type="dxa"/>
            <w:shd w:val="clear" w:color="auto" w:fill="DAEEF3" w:themeFill="accent5" w:themeFillTint="33"/>
          </w:tcPr>
          <w:p w14:paraId="3D1C0C34" w14:textId="77777777" w:rsidR="00DF57E2" w:rsidRPr="0070214A" w:rsidRDefault="00DF57E2" w:rsidP="007942CC">
            <w:pPr>
              <w:pStyle w:val="Table"/>
              <w:rPr>
                <w:b/>
                <w:bCs/>
                <w:lang w:bidi="hi-IN"/>
              </w:rPr>
            </w:pPr>
            <w:r w:rsidRPr="0070214A">
              <w:rPr>
                <w:b/>
                <w:bCs/>
                <w:lang w:bidi="hi-IN"/>
              </w:rPr>
              <w:t xml:space="preserve">One of the five components of COSO </w:t>
            </w:r>
            <w:r w:rsidRPr="0070214A">
              <w:rPr>
                <w:b/>
                <w:bCs/>
                <w:i/>
                <w:lang w:bidi="hi-IN"/>
              </w:rPr>
              <w:t>Internal Control Integrated Framework</w:t>
            </w:r>
            <w:r w:rsidRPr="0070214A">
              <w:rPr>
                <w:b/>
                <w:bCs/>
                <w:lang w:bidi="hi-IN"/>
              </w:rPr>
              <w:t xml:space="preserve">. </w:t>
            </w:r>
          </w:p>
          <w:p w14:paraId="780CEE38" w14:textId="77777777" w:rsidR="00DF57E2" w:rsidRPr="00466B88" w:rsidRDefault="00DF57E2"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 xml:space="preserve">Ongoing evaluations, separate evaluations, or some combination of the two are used to ascertain whether each of the five components of internal control, including controls to </w:t>
            </w:r>
            <w:proofErr w:type="gramStart"/>
            <w:r w:rsidRPr="00466B88">
              <w:rPr>
                <w:rFonts w:ascii="Calibri" w:eastAsia="SimSun" w:hAnsi="Calibri" w:cs="Calibri"/>
                <w:kern w:val="3"/>
                <w:lang w:eastAsia="zh-CN" w:bidi="hi-IN"/>
              </w:rPr>
              <w:t>effect</w:t>
            </w:r>
            <w:proofErr w:type="gramEnd"/>
            <w:r w:rsidRPr="00466B88">
              <w:rPr>
                <w:rFonts w:ascii="Calibri" w:eastAsia="SimSun" w:hAnsi="Calibri" w:cs="Calibri"/>
                <w:kern w:val="3"/>
                <w:lang w:eastAsia="zh-CN" w:bidi="hi-IN"/>
              </w:rPr>
              <w:t xml:space="preserve"> the principles within each component, are present and functioning. Findings are evaluated and deficiencies are communicated in a timely manner, with serious matters reported to senior management and to the board. </w:t>
            </w:r>
          </w:p>
        </w:tc>
      </w:tr>
      <w:tr w:rsidR="00DF57E2" w:rsidRPr="00466B88" w14:paraId="6999FD0D" w14:textId="77777777" w:rsidTr="00DA65BA">
        <w:tc>
          <w:tcPr>
            <w:tcW w:w="1773" w:type="dxa"/>
            <w:shd w:val="clear" w:color="auto" w:fill="EAF1DD" w:themeFill="accent3" w:themeFillTint="33"/>
          </w:tcPr>
          <w:p w14:paraId="30B0782E" w14:textId="77777777" w:rsidR="00DF57E2" w:rsidRPr="00466B88" w:rsidRDefault="00DF57E2" w:rsidP="007942CC">
            <w:pPr>
              <w:pStyle w:val="Table"/>
            </w:pPr>
            <w:r w:rsidRPr="00466B88">
              <w:rPr>
                <w:rFonts w:ascii="Calibri" w:eastAsia="SimSun" w:hAnsi="Calibri" w:cs="Calibri"/>
                <w:bCs/>
                <w:kern w:val="3"/>
                <w:lang w:eastAsia="zh-CN" w:bidi="hi-IN"/>
              </w:rPr>
              <w:t>Opportunity</w:t>
            </w:r>
          </w:p>
        </w:tc>
        <w:tc>
          <w:tcPr>
            <w:tcW w:w="6862" w:type="dxa"/>
            <w:shd w:val="clear" w:color="auto" w:fill="EAF1DD" w:themeFill="accent3" w:themeFillTint="33"/>
          </w:tcPr>
          <w:p w14:paraId="7CFF4F81" w14:textId="77777777" w:rsidR="00DF57E2" w:rsidRPr="00466B88" w:rsidRDefault="00DF57E2"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An action or potential action that creates or alters goals or approaches for creating, preserving</w:t>
            </w:r>
            <w:r>
              <w:rPr>
                <w:rFonts w:ascii="Calibri" w:eastAsia="SimSun" w:hAnsi="Calibri" w:cs="Calibri"/>
                <w:kern w:val="3"/>
                <w:lang w:eastAsia="zh-CN" w:bidi="hi-IN"/>
              </w:rPr>
              <w:t>,</w:t>
            </w:r>
            <w:r w:rsidRPr="00466B88">
              <w:rPr>
                <w:rFonts w:ascii="Calibri" w:eastAsia="SimSun" w:hAnsi="Calibri" w:cs="Calibri"/>
                <w:kern w:val="3"/>
                <w:lang w:eastAsia="zh-CN" w:bidi="hi-IN"/>
              </w:rPr>
              <w:t xml:space="preserve"> and realizing value. </w:t>
            </w:r>
          </w:p>
        </w:tc>
      </w:tr>
      <w:tr w:rsidR="00CF3B48" w:rsidRPr="00466B88" w14:paraId="335D3147" w14:textId="77777777" w:rsidTr="00CF3B48">
        <w:tc>
          <w:tcPr>
            <w:tcW w:w="1773" w:type="dxa"/>
            <w:shd w:val="clear" w:color="auto" w:fill="auto"/>
          </w:tcPr>
          <w:p w14:paraId="1CD2F736" w14:textId="5FD913D3" w:rsidR="00CF3B48" w:rsidRPr="00466B88" w:rsidRDefault="00CF3B48" w:rsidP="007942CC">
            <w:pPr>
              <w:pStyle w:val="Table"/>
              <w:rPr>
                <w:rFonts w:ascii="Calibri" w:eastAsia="SimSun" w:hAnsi="Calibri" w:cs="Calibri"/>
                <w:bCs/>
                <w:kern w:val="3"/>
                <w:lang w:eastAsia="zh-CN" w:bidi="hi-IN"/>
              </w:rPr>
            </w:pPr>
            <w:r>
              <w:rPr>
                <w:rFonts w:ascii="Calibri" w:eastAsia="SimSun" w:hAnsi="Calibri" w:cs="Calibri"/>
                <w:bCs/>
                <w:kern w:val="3"/>
                <w:lang w:eastAsia="zh-CN" w:bidi="hi-IN"/>
              </w:rPr>
              <w:lastRenderedPageBreak/>
              <w:t>Organization or Entity</w:t>
            </w:r>
          </w:p>
        </w:tc>
        <w:tc>
          <w:tcPr>
            <w:tcW w:w="6862" w:type="dxa"/>
            <w:shd w:val="clear" w:color="auto" w:fill="auto"/>
          </w:tcPr>
          <w:p w14:paraId="64628A36" w14:textId="5EC5DA30" w:rsidR="00CF3B48" w:rsidRPr="00466B88" w:rsidRDefault="00CF3B48" w:rsidP="007942CC">
            <w:pPr>
              <w:pStyle w:val="Table"/>
              <w:rPr>
                <w:rFonts w:ascii="Calibri" w:eastAsia="SimSun" w:hAnsi="Calibri" w:cs="Calibri"/>
                <w:kern w:val="3"/>
                <w:lang w:eastAsia="zh-CN" w:bidi="hi-IN"/>
              </w:rPr>
            </w:pPr>
            <w:r w:rsidRPr="00CF3B48">
              <w:rPr>
                <w:rFonts w:ascii="Calibri" w:eastAsia="SimSun" w:hAnsi="Calibri" w:cs="Calibri"/>
                <w:kern w:val="3"/>
                <w:lang w:eastAsia="zh-CN" w:bidi="hi-IN"/>
              </w:rPr>
              <w:t>Any form of for-profit</w:t>
            </w:r>
            <w:r>
              <w:rPr>
                <w:rFonts w:ascii="Calibri" w:eastAsia="SimSun" w:hAnsi="Calibri" w:cs="Calibri"/>
                <w:kern w:val="3"/>
                <w:lang w:eastAsia="zh-CN" w:bidi="hi-IN"/>
              </w:rPr>
              <w:t xml:space="preserve"> and</w:t>
            </w:r>
            <w:r w:rsidRPr="00CF3B48">
              <w:rPr>
                <w:rFonts w:ascii="Calibri" w:eastAsia="SimSun" w:hAnsi="Calibri" w:cs="Calibri"/>
                <w:kern w:val="3"/>
                <w:lang w:eastAsia="zh-CN" w:bidi="hi-IN"/>
              </w:rPr>
              <w:t xml:space="preserve"> not-for-profit</w:t>
            </w:r>
            <w:r>
              <w:rPr>
                <w:rFonts w:ascii="Calibri" w:eastAsia="SimSun" w:hAnsi="Calibri" w:cs="Calibri"/>
                <w:kern w:val="3"/>
                <w:lang w:eastAsia="zh-CN" w:bidi="hi-IN"/>
              </w:rPr>
              <w:t xml:space="preserve"> organization/entity</w:t>
            </w:r>
            <w:r w:rsidRPr="00CF3B48">
              <w:rPr>
                <w:rFonts w:ascii="Calibri" w:eastAsia="SimSun" w:hAnsi="Calibri" w:cs="Calibri"/>
                <w:kern w:val="3"/>
                <w:lang w:eastAsia="zh-CN" w:bidi="hi-IN"/>
              </w:rPr>
              <w:t xml:space="preserve"> or governmental body. An organization/entity may be publicly listed, privately owned, owned through a cooperative structure, or any</w:t>
            </w:r>
            <w:r>
              <w:rPr>
                <w:rFonts w:ascii="Calibri" w:eastAsia="SimSun" w:hAnsi="Calibri" w:cs="Calibri"/>
                <w:kern w:val="3"/>
                <w:lang w:eastAsia="zh-CN" w:bidi="hi-IN"/>
              </w:rPr>
              <w:t xml:space="preserve"> </w:t>
            </w:r>
            <w:r w:rsidRPr="00CF3B48">
              <w:rPr>
                <w:rFonts w:ascii="Calibri" w:eastAsia="SimSun" w:hAnsi="Calibri" w:cs="Calibri"/>
                <w:kern w:val="3"/>
                <w:lang w:eastAsia="zh-CN" w:bidi="hi-IN"/>
              </w:rPr>
              <w:t>other legal structure </w:t>
            </w:r>
          </w:p>
        </w:tc>
      </w:tr>
      <w:tr w:rsidR="00DF57E2" w:rsidRPr="00466B88" w14:paraId="209CB518" w14:textId="77777777" w:rsidTr="00DA65BA">
        <w:tc>
          <w:tcPr>
            <w:tcW w:w="1773" w:type="dxa"/>
            <w:shd w:val="clear" w:color="auto" w:fill="E5DFEC" w:themeFill="accent4" w:themeFillTint="33"/>
          </w:tcPr>
          <w:p w14:paraId="24981069" w14:textId="77777777" w:rsidR="00DF57E2" w:rsidRPr="00466B88" w:rsidRDefault="00DF57E2" w:rsidP="007942CC">
            <w:pPr>
              <w:pStyle w:val="Table"/>
              <w:rPr>
                <w:rFonts w:ascii="Calibri" w:eastAsia="SimSun" w:hAnsi="Calibri" w:cs="Calibri"/>
                <w:bCs/>
                <w:kern w:val="3"/>
                <w:lang w:eastAsia="zh-CN" w:bidi="hi-IN"/>
              </w:rPr>
            </w:pPr>
            <w:r w:rsidRPr="00466B88">
              <w:rPr>
                <w:rFonts w:ascii="Calibri" w:eastAsia="SimSun" w:hAnsi="Calibri" w:cs="Calibri"/>
                <w:bCs/>
                <w:kern w:val="3"/>
                <w:lang w:eastAsia="zh-CN" w:bidi="hi-IN"/>
              </w:rPr>
              <w:t>Outcome</w:t>
            </w:r>
          </w:p>
        </w:tc>
        <w:tc>
          <w:tcPr>
            <w:tcW w:w="6862" w:type="dxa"/>
            <w:shd w:val="clear" w:color="auto" w:fill="E5DFEC" w:themeFill="accent4" w:themeFillTint="33"/>
          </w:tcPr>
          <w:p w14:paraId="78BA5D5D" w14:textId="77777777" w:rsidR="00DF57E2" w:rsidRPr="00466B88" w:rsidRDefault="00DF57E2"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The effects of a program or project measured at the highest meaningful level in proportion to the program or project (e.g. jobs created). In practice there are always at least some external non-controllable elements, which influence whether outcomes are achieved or not.</w:t>
            </w:r>
          </w:p>
        </w:tc>
      </w:tr>
      <w:tr w:rsidR="00DF57E2" w:rsidRPr="00466B88" w14:paraId="010F9FE4" w14:textId="77777777" w:rsidTr="00DA65BA">
        <w:tc>
          <w:tcPr>
            <w:tcW w:w="1773" w:type="dxa"/>
            <w:shd w:val="clear" w:color="auto" w:fill="E5DFEC" w:themeFill="accent4" w:themeFillTint="33"/>
          </w:tcPr>
          <w:p w14:paraId="36DC1A62" w14:textId="77777777" w:rsidR="00DF57E2" w:rsidRPr="00466B88" w:rsidRDefault="00DF57E2" w:rsidP="007942CC">
            <w:pPr>
              <w:pStyle w:val="Table"/>
              <w:rPr>
                <w:rFonts w:ascii="Calibri" w:eastAsia="SimSun" w:hAnsi="Calibri" w:cs="Calibri"/>
                <w:bCs/>
                <w:kern w:val="3"/>
                <w:lang w:eastAsia="zh-CN" w:bidi="hi-IN"/>
              </w:rPr>
            </w:pPr>
            <w:r w:rsidRPr="00466B88">
              <w:rPr>
                <w:rFonts w:ascii="Calibri" w:eastAsia="SimSun" w:hAnsi="Calibri" w:cs="Calibri"/>
                <w:bCs/>
                <w:kern w:val="3"/>
                <w:lang w:eastAsia="zh-CN" w:bidi="hi-IN"/>
              </w:rPr>
              <w:t>Outputs</w:t>
            </w:r>
          </w:p>
        </w:tc>
        <w:tc>
          <w:tcPr>
            <w:tcW w:w="6862" w:type="dxa"/>
            <w:shd w:val="clear" w:color="auto" w:fill="E5DFEC" w:themeFill="accent4" w:themeFillTint="33"/>
          </w:tcPr>
          <w:p w14:paraId="34ECF213" w14:textId="77777777" w:rsidR="00DF57E2" w:rsidRPr="00466B88" w:rsidRDefault="00DF57E2"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The directly tangible deliverables of a program or project insofar as they are, for practical purposes, completely under the control of the implementers of the project</w:t>
            </w:r>
            <w:r>
              <w:rPr>
                <w:rFonts w:ascii="Calibri" w:eastAsia="SimSun" w:hAnsi="Calibri" w:cs="Calibri"/>
                <w:kern w:val="3"/>
                <w:lang w:eastAsia="zh-CN" w:bidi="hi-IN"/>
              </w:rPr>
              <w:t>.</w:t>
            </w:r>
            <w:r w:rsidRPr="00466B88">
              <w:rPr>
                <w:rFonts w:ascii="Calibri" w:eastAsia="SimSun" w:hAnsi="Calibri" w:cs="Calibri"/>
                <w:kern w:val="3"/>
                <w:lang w:eastAsia="zh-CN" w:bidi="hi-IN"/>
              </w:rPr>
              <w:t xml:space="preserve"> </w:t>
            </w:r>
          </w:p>
        </w:tc>
      </w:tr>
      <w:tr w:rsidR="00DF57E2" w:rsidRPr="00466B88" w14:paraId="4682A26A" w14:textId="77777777" w:rsidTr="00DA65BA">
        <w:tc>
          <w:tcPr>
            <w:tcW w:w="1773" w:type="dxa"/>
          </w:tcPr>
          <w:p w14:paraId="10272F7C" w14:textId="77777777" w:rsidR="00DF57E2" w:rsidRPr="00466B88" w:rsidRDefault="00DF57E2" w:rsidP="007942CC">
            <w:pPr>
              <w:pStyle w:val="Table"/>
              <w:rPr>
                <w:rFonts w:ascii="Calibri" w:eastAsia="SimSun" w:hAnsi="Calibri" w:cs="Calibri"/>
                <w:bCs/>
                <w:kern w:val="3"/>
                <w:lang w:eastAsia="zh-CN" w:bidi="hi-IN"/>
              </w:rPr>
            </w:pPr>
            <w:r w:rsidRPr="00466B88">
              <w:rPr>
                <w:rFonts w:ascii="Calibri" w:eastAsia="SimSun" w:hAnsi="Calibri" w:cs="Calibri"/>
                <w:bCs/>
                <w:kern w:val="3"/>
                <w:lang w:eastAsia="zh-CN" w:bidi="hi-IN"/>
              </w:rPr>
              <w:t>Performance Management</w:t>
            </w:r>
          </w:p>
        </w:tc>
        <w:tc>
          <w:tcPr>
            <w:tcW w:w="6862" w:type="dxa"/>
          </w:tcPr>
          <w:p w14:paraId="4A5553F4" w14:textId="77777777" w:rsidR="00DF57E2" w:rsidRPr="00466B88" w:rsidRDefault="00DF57E2"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The measurement of efforts to achieve or exceed the strategy and business objectives.</w:t>
            </w:r>
          </w:p>
        </w:tc>
      </w:tr>
      <w:tr w:rsidR="00DF57E2" w:rsidRPr="00466B88" w14:paraId="4E21F8D4" w14:textId="77777777" w:rsidTr="00DA65BA">
        <w:tc>
          <w:tcPr>
            <w:tcW w:w="1773" w:type="dxa"/>
            <w:shd w:val="clear" w:color="auto" w:fill="EAF1DD" w:themeFill="accent3" w:themeFillTint="33"/>
          </w:tcPr>
          <w:p w14:paraId="1C9D9021" w14:textId="77777777" w:rsidR="00DF57E2" w:rsidRPr="00466B88" w:rsidRDefault="00DF57E2" w:rsidP="007942CC">
            <w:pPr>
              <w:pStyle w:val="Table"/>
              <w:rPr>
                <w:rFonts w:ascii="Calibri" w:eastAsia="SimSun" w:hAnsi="Calibri" w:cs="Calibri"/>
                <w:bCs/>
                <w:kern w:val="3"/>
                <w:lang w:eastAsia="zh-CN" w:bidi="hi-IN"/>
              </w:rPr>
            </w:pPr>
            <w:r w:rsidRPr="00466B88">
              <w:rPr>
                <w:rFonts w:ascii="Calibri" w:eastAsia="SimSun" w:hAnsi="Calibri" w:cs="Calibri"/>
                <w:bCs/>
                <w:kern w:val="3"/>
                <w:lang w:eastAsia="zh-CN" w:bidi="hi-IN"/>
              </w:rPr>
              <w:t>Persistence</w:t>
            </w:r>
          </w:p>
        </w:tc>
        <w:tc>
          <w:tcPr>
            <w:tcW w:w="6862" w:type="dxa"/>
            <w:shd w:val="clear" w:color="auto" w:fill="EAF1DD" w:themeFill="accent3" w:themeFillTint="33"/>
          </w:tcPr>
          <w:p w14:paraId="63AF10BC" w14:textId="77777777" w:rsidR="00DF57E2" w:rsidRPr="00466B88" w:rsidRDefault="00DF57E2"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How long a risk impacts a</w:t>
            </w:r>
            <w:r>
              <w:rPr>
                <w:rFonts w:ascii="Calibri" w:eastAsia="SimSun" w:hAnsi="Calibri" w:cs="Calibri"/>
                <w:kern w:val="3"/>
                <w:lang w:eastAsia="zh-CN" w:bidi="hi-IN"/>
              </w:rPr>
              <w:t>n</w:t>
            </w:r>
            <w:r w:rsidRPr="00466B88">
              <w:rPr>
                <w:rFonts w:ascii="Calibri" w:eastAsia="SimSun" w:hAnsi="Calibri" w:cs="Calibri"/>
                <w:kern w:val="3"/>
                <w:lang w:eastAsia="zh-CN" w:bidi="hi-IN"/>
              </w:rPr>
              <w:t xml:space="preserve"> entity</w:t>
            </w:r>
            <w:r>
              <w:rPr>
                <w:rFonts w:ascii="Calibri" w:eastAsia="SimSun" w:hAnsi="Calibri" w:cs="Calibri"/>
                <w:kern w:val="3"/>
                <w:lang w:eastAsia="zh-CN" w:bidi="hi-IN"/>
              </w:rPr>
              <w:t>.</w:t>
            </w:r>
          </w:p>
        </w:tc>
      </w:tr>
      <w:tr w:rsidR="00DF57E2" w:rsidRPr="00466B88" w14:paraId="65FFD02A" w14:textId="77777777" w:rsidTr="00DA65BA">
        <w:tc>
          <w:tcPr>
            <w:tcW w:w="1773" w:type="dxa"/>
            <w:shd w:val="clear" w:color="auto" w:fill="EAF1DD" w:themeFill="accent3" w:themeFillTint="33"/>
          </w:tcPr>
          <w:p w14:paraId="0853B283" w14:textId="77777777" w:rsidR="00DF57E2" w:rsidRPr="00466B88" w:rsidRDefault="00DF57E2" w:rsidP="007942CC">
            <w:pPr>
              <w:pStyle w:val="Table"/>
              <w:rPr>
                <w:rFonts w:ascii="Calibri" w:eastAsia="SimSun" w:hAnsi="Calibri" w:cs="Calibri"/>
                <w:bCs/>
                <w:kern w:val="3"/>
                <w:lang w:eastAsia="zh-CN" w:bidi="hi-IN"/>
              </w:rPr>
            </w:pPr>
            <w:r w:rsidRPr="00466B88">
              <w:rPr>
                <w:rFonts w:ascii="Calibri" w:eastAsia="SimSun" w:hAnsi="Calibri" w:cs="Calibri"/>
                <w:bCs/>
                <w:kern w:val="3"/>
                <w:lang w:eastAsia="zh-CN" w:bidi="hi-IN"/>
              </w:rPr>
              <w:t>Portfolio View</w:t>
            </w:r>
          </w:p>
        </w:tc>
        <w:tc>
          <w:tcPr>
            <w:tcW w:w="6862" w:type="dxa"/>
            <w:shd w:val="clear" w:color="auto" w:fill="EAF1DD" w:themeFill="accent3" w:themeFillTint="33"/>
          </w:tcPr>
          <w:p w14:paraId="0DF408BC" w14:textId="77777777" w:rsidR="00DF57E2" w:rsidRPr="00466B88" w:rsidRDefault="00DF57E2"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A composite view of risk the entity faces, which positions management and the board to consider the types, severity</w:t>
            </w:r>
            <w:r>
              <w:rPr>
                <w:rFonts w:ascii="Calibri" w:eastAsia="SimSun" w:hAnsi="Calibri" w:cs="Calibri"/>
                <w:kern w:val="3"/>
                <w:lang w:eastAsia="zh-CN" w:bidi="hi-IN"/>
              </w:rPr>
              <w:t>,</w:t>
            </w:r>
            <w:r w:rsidRPr="00466B88">
              <w:rPr>
                <w:rFonts w:ascii="Calibri" w:eastAsia="SimSun" w:hAnsi="Calibri" w:cs="Calibri"/>
                <w:kern w:val="3"/>
                <w:lang w:eastAsia="zh-CN" w:bidi="hi-IN"/>
              </w:rPr>
              <w:t xml:space="preserve"> and interdependencies of risks and how they may affect the entity’s performance relative to its strategy and business objectives.</w:t>
            </w:r>
          </w:p>
        </w:tc>
      </w:tr>
      <w:tr w:rsidR="00DF57E2" w:rsidRPr="00466B88" w14:paraId="09D3E92E" w14:textId="77777777" w:rsidTr="00DA65BA">
        <w:tc>
          <w:tcPr>
            <w:tcW w:w="1773" w:type="dxa"/>
          </w:tcPr>
          <w:p w14:paraId="21E1BA1F" w14:textId="77777777" w:rsidR="00DF57E2" w:rsidRPr="00466B88" w:rsidRDefault="00DF57E2" w:rsidP="007942CC">
            <w:pPr>
              <w:pStyle w:val="Table"/>
              <w:rPr>
                <w:rFonts w:ascii="Calibri" w:eastAsia="SimSun" w:hAnsi="Calibri" w:cs="Calibri"/>
                <w:bCs/>
                <w:kern w:val="3"/>
                <w:lang w:eastAsia="zh-CN" w:bidi="hi-IN"/>
              </w:rPr>
            </w:pPr>
            <w:r w:rsidRPr="00466B88">
              <w:rPr>
                <w:rFonts w:ascii="Calibri" w:eastAsia="SimSun" w:hAnsi="Calibri" w:cs="Calibri"/>
                <w:bCs/>
                <w:kern w:val="3"/>
                <w:lang w:eastAsia="zh-CN" w:bidi="hi-IN"/>
              </w:rPr>
              <w:t>Public Internal Financial Control (PIFC)</w:t>
            </w:r>
          </w:p>
        </w:tc>
        <w:tc>
          <w:tcPr>
            <w:tcW w:w="6862" w:type="dxa"/>
          </w:tcPr>
          <w:p w14:paraId="6BADE916" w14:textId="77777777" w:rsidR="00DF57E2" w:rsidRPr="00466B88" w:rsidRDefault="00DF57E2"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The terminology used by the European Commission during the process of enlargement to capture the need for the improvements in Internal Control, Internal Audit and Central Harmoni</w:t>
            </w:r>
            <w:r>
              <w:rPr>
                <w:rFonts w:ascii="Calibri" w:eastAsia="SimSun" w:hAnsi="Calibri" w:cs="Calibri"/>
                <w:kern w:val="3"/>
                <w:lang w:eastAsia="zh-CN" w:bidi="hi-IN"/>
              </w:rPr>
              <w:t>z</w:t>
            </w:r>
            <w:r w:rsidRPr="00466B88">
              <w:rPr>
                <w:rFonts w:ascii="Calibri" w:eastAsia="SimSun" w:hAnsi="Calibri" w:cs="Calibri"/>
                <w:kern w:val="3"/>
                <w:lang w:eastAsia="zh-CN" w:bidi="hi-IN"/>
              </w:rPr>
              <w:t>ation.  This term has now been replaced by Public Internal Control (PIC) to reflect the fact that internal control is more than just financial control.</w:t>
            </w:r>
          </w:p>
        </w:tc>
      </w:tr>
      <w:tr w:rsidR="00DF57E2" w:rsidRPr="00466B88" w14:paraId="5F107BE1" w14:textId="77777777" w:rsidTr="00DA65BA">
        <w:tc>
          <w:tcPr>
            <w:tcW w:w="1773" w:type="dxa"/>
          </w:tcPr>
          <w:p w14:paraId="21A54AAD" w14:textId="77777777" w:rsidR="00DF57E2" w:rsidRPr="00466B88" w:rsidRDefault="00DF57E2" w:rsidP="007942CC">
            <w:pPr>
              <w:pStyle w:val="Table"/>
              <w:rPr>
                <w:rFonts w:ascii="Calibri" w:eastAsia="SimSun" w:hAnsi="Calibri" w:cs="Calibri"/>
                <w:bCs/>
                <w:kern w:val="3"/>
                <w:lang w:eastAsia="zh-CN" w:bidi="hi-IN"/>
              </w:rPr>
            </w:pPr>
            <w:r w:rsidRPr="00466B88">
              <w:rPr>
                <w:rFonts w:ascii="Calibri" w:eastAsia="SimSun" w:hAnsi="Calibri" w:cs="Calibri"/>
                <w:bCs/>
                <w:kern w:val="3"/>
                <w:lang w:eastAsia="zh-CN" w:bidi="hi-IN"/>
              </w:rPr>
              <w:t xml:space="preserve">Public Internal Control </w:t>
            </w:r>
          </w:p>
        </w:tc>
        <w:tc>
          <w:tcPr>
            <w:tcW w:w="6862" w:type="dxa"/>
          </w:tcPr>
          <w:p w14:paraId="5D2E94D4" w14:textId="77777777" w:rsidR="00DF57E2" w:rsidRPr="00466B88" w:rsidRDefault="00DF57E2"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 xml:space="preserve">The term now </w:t>
            </w:r>
            <w:r w:rsidR="00DE0C1F">
              <w:rPr>
                <w:rFonts w:ascii="Calibri" w:eastAsia="SimSun" w:hAnsi="Calibri" w:cs="Calibri"/>
                <w:kern w:val="3"/>
                <w:lang w:eastAsia="zh-CN" w:bidi="hi-IN"/>
              </w:rPr>
              <w:t xml:space="preserve">often </w:t>
            </w:r>
            <w:r w:rsidRPr="00466B88">
              <w:rPr>
                <w:rFonts w:ascii="Calibri" w:eastAsia="SimSun" w:hAnsi="Calibri" w:cs="Calibri"/>
                <w:kern w:val="3"/>
                <w:lang w:eastAsia="zh-CN" w:bidi="hi-IN"/>
              </w:rPr>
              <w:t>used in place of Public Internal Financial Control to express the three elements of Internal Control Internal Audit and Central Harmoni</w:t>
            </w:r>
            <w:r>
              <w:rPr>
                <w:rFonts w:ascii="Calibri" w:eastAsia="SimSun" w:hAnsi="Calibri" w:cs="Calibri"/>
                <w:kern w:val="3"/>
                <w:lang w:eastAsia="zh-CN" w:bidi="hi-IN"/>
              </w:rPr>
              <w:t>z</w:t>
            </w:r>
            <w:r w:rsidRPr="00466B88">
              <w:rPr>
                <w:rFonts w:ascii="Calibri" w:eastAsia="SimSun" w:hAnsi="Calibri" w:cs="Calibri"/>
                <w:kern w:val="3"/>
                <w:lang w:eastAsia="zh-CN" w:bidi="hi-IN"/>
              </w:rPr>
              <w:t xml:space="preserve">ation required for best practice financial management. </w:t>
            </w:r>
          </w:p>
        </w:tc>
      </w:tr>
      <w:tr w:rsidR="00DF57E2" w:rsidRPr="00466B88" w14:paraId="0ACBE59B" w14:textId="77777777" w:rsidTr="00DA65BA">
        <w:tc>
          <w:tcPr>
            <w:tcW w:w="1773" w:type="dxa"/>
            <w:shd w:val="clear" w:color="auto" w:fill="EAF1DD" w:themeFill="accent3" w:themeFillTint="33"/>
          </w:tcPr>
          <w:p w14:paraId="166D520A" w14:textId="77777777" w:rsidR="00DF57E2" w:rsidRPr="00466B88" w:rsidRDefault="00DF57E2"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Recovery</w:t>
            </w:r>
          </w:p>
        </w:tc>
        <w:tc>
          <w:tcPr>
            <w:tcW w:w="6862" w:type="dxa"/>
            <w:shd w:val="clear" w:color="auto" w:fill="EAF1DD" w:themeFill="accent3" w:themeFillTint="33"/>
          </w:tcPr>
          <w:p w14:paraId="7AF1014D" w14:textId="77777777" w:rsidR="00DF57E2" w:rsidRPr="00457B7C" w:rsidRDefault="00DF57E2" w:rsidP="007942CC">
            <w:pPr>
              <w:pStyle w:val="Table"/>
              <w:rPr>
                <w:rFonts w:eastAsia="SimSun" w:cstheme="majorHAnsi"/>
                <w:color w:val="000000" w:themeColor="text1"/>
                <w:kern w:val="3"/>
                <w:lang w:eastAsia="zh-CN" w:bidi="hi-IN"/>
              </w:rPr>
            </w:pPr>
            <w:r w:rsidRPr="00457B7C">
              <w:rPr>
                <w:rFonts w:cstheme="majorHAnsi"/>
                <w:color w:val="000000" w:themeColor="text1"/>
              </w:rPr>
              <w:t xml:space="preserve">The capacity of an entity to return to acceptable tolerance levels after the impact of a risk.  </w:t>
            </w:r>
          </w:p>
        </w:tc>
      </w:tr>
      <w:tr w:rsidR="00DF57E2" w:rsidRPr="00466B88" w14:paraId="16252701" w14:textId="77777777" w:rsidTr="00DA65BA">
        <w:tc>
          <w:tcPr>
            <w:tcW w:w="1773" w:type="dxa"/>
            <w:shd w:val="clear" w:color="auto" w:fill="EAF1DD" w:themeFill="accent3" w:themeFillTint="33"/>
          </w:tcPr>
          <w:p w14:paraId="4B341DE3" w14:textId="77777777" w:rsidR="00DF57E2" w:rsidRPr="00466B88" w:rsidRDefault="00DF57E2"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Residual Risk</w:t>
            </w:r>
          </w:p>
        </w:tc>
        <w:tc>
          <w:tcPr>
            <w:tcW w:w="6862" w:type="dxa"/>
            <w:shd w:val="clear" w:color="auto" w:fill="EAF1DD" w:themeFill="accent3" w:themeFillTint="33"/>
          </w:tcPr>
          <w:p w14:paraId="296B583F" w14:textId="77777777" w:rsidR="00DF57E2" w:rsidRPr="00457B7C" w:rsidRDefault="00DF57E2" w:rsidP="007942CC">
            <w:pPr>
              <w:pStyle w:val="Table"/>
              <w:rPr>
                <w:rFonts w:cstheme="majorHAnsi"/>
                <w:color w:val="000000" w:themeColor="text1"/>
              </w:rPr>
            </w:pPr>
            <w:r w:rsidRPr="00457B7C">
              <w:rPr>
                <w:rFonts w:cstheme="majorHAnsi"/>
                <w:color w:val="000000" w:themeColor="text1"/>
              </w:rPr>
              <w:t>The level of risk remaining after the application of control activities</w:t>
            </w:r>
            <w:r>
              <w:rPr>
                <w:rFonts w:cstheme="majorHAnsi"/>
                <w:color w:val="000000" w:themeColor="text1"/>
              </w:rPr>
              <w:t>.</w:t>
            </w:r>
            <w:r w:rsidRPr="00457B7C">
              <w:rPr>
                <w:rFonts w:cstheme="majorHAnsi"/>
                <w:color w:val="000000" w:themeColor="text1"/>
              </w:rPr>
              <w:t xml:space="preserve"> </w:t>
            </w:r>
          </w:p>
        </w:tc>
      </w:tr>
      <w:tr w:rsidR="00DF57E2" w:rsidRPr="00466B88" w14:paraId="540AEE35" w14:textId="77777777" w:rsidTr="00DA65BA">
        <w:tc>
          <w:tcPr>
            <w:tcW w:w="1773" w:type="dxa"/>
            <w:shd w:val="clear" w:color="auto" w:fill="EAF1DD" w:themeFill="accent3" w:themeFillTint="33"/>
          </w:tcPr>
          <w:p w14:paraId="2A561B18" w14:textId="77777777" w:rsidR="00DF57E2" w:rsidRPr="00466B88" w:rsidRDefault="00DF57E2" w:rsidP="007942CC">
            <w:pPr>
              <w:pStyle w:val="Table"/>
            </w:pPr>
            <w:r w:rsidRPr="00466B88">
              <w:rPr>
                <w:rFonts w:ascii="Calibri" w:eastAsia="SimSun" w:hAnsi="Calibri" w:cs="Calibri"/>
                <w:kern w:val="3"/>
                <w:lang w:eastAsia="zh-CN" w:bidi="hi-IN"/>
              </w:rPr>
              <w:t>Risk</w:t>
            </w:r>
          </w:p>
        </w:tc>
        <w:tc>
          <w:tcPr>
            <w:tcW w:w="6862" w:type="dxa"/>
            <w:shd w:val="clear" w:color="auto" w:fill="EAF1DD" w:themeFill="accent3" w:themeFillTint="33"/>
          </w:tcPr>
          <w:p w14:paraId="445A375E" w14:textId="77777777" w:rsidR="00DF57E2" w:rsidRPr="00466B88" w:rsidRDefault="00DF57E2" w:rsidP="007942CC">
            <w:pPr>
              <w:pStyle w:val="Table"/>
            </w:pPr>
            <w:r w:rsidRPr="00466B88">
              <w:rPr>
                <w:rFonts w:ascii="Calibri" w:eastAsia="SimSun" w:hAnsi="Calibri" w:cs="Calibri"/>
                <w:kern w:val="3"/>
                <w:lang w:eastAsia="zh-CN" w:bidi="hi-IN"/>
              </w:rPr>
              <w:t>The possibility of an event occurring that will have an impact on the achievement of objectives. NOTE: “Risks” (plural) refers to one or more potential events that may affect the achievement of objectives. “Risk” (singular) refers to all potential events collectively that may affect the achievement of objectives.</w:t>
            </w:r>
          </w:p>
        </w:tc>
      </w:tr>
      <w:tr w:rsidR="00DF57E2" w:rsidRPr="00466B88" w14:paraId="1A51F343" w14:textId="77777777" w:rsidTr="00DA65BA">
        <w:tc>
          <w:tcPr>
            <w:tcW w:w="1773" w:type="dxa"/>
            <w:shd w:val="clear" w:color="auto" w:fill="EAF1DD" w:themeFill="accent3" w:themeFillTint="33"/>
          </w:tcPr>
          <w:p w14:paraId="42615805" w14:textId="77777777" w:rsidR="00DF57E2" w:rsidRPr="00466B88" w:rsidRDefault="00DF57E2" w:rsidP="007942CC">
            <w:pPr>
              <w:pStyle w:val="Table"/>
            </w:pPr>
            <w:r w:rsidRPr="00466B88">
              <w:rPr>
                <w:rFonts w:ascii="Calibri" w:eastAsia="SimSun" w:hAnsi="Calibri" w:cs="Calibri"/>
                <w:kern w:val="3"/>
                <w:lang w:eastAsia="zh-CN" w:bidi="hi-IN"/>
              </w:rPr>
              <w:t>Risk Appetite</w:t>
            </w:r>
          </w:p>
        </w:tc>
        <w:tc>
          <w:tcPr>
            <w:tcW w:w="6862" w:type="dxa"/>
            <w:shd w:val="clear" w:color="auto" w:fill="EAF1DD" w:themeFill="accent3" w:themeFillTint="33"/>
          </w:tcPr>
          <w:p w14:paraId="2B7A9FD2" w14:textId="77777777" w:rsidR="00DF57E2" w:rsidRPr="00466B88" w:rsidRDefault="00DF57E2" w:rsidP="007942CC">
            <w:pPr>
              <w:pStyle w:val="Table"/>
            </w:pPr>
            <w:r w:rsidRPr="00466B88">
              <w:rPr>
                <w:rFonts w:ascii="Calibri" w:eastAsia="SimSun" w:hAnsi="Calibri" w:cs="Calibri"/>
                <w:kern w:val="3"/>
                <w:lang w:eastAsia="zh-CN" w:bidi="hi-IN"/>
              </w:rPr>
              <w:t>The types and amount of risk, on a broad level, an organization is willing to accept in pursuit of added value.</w:t>
            </w:r>
          </w:p>
        </w:tc>
      </w:tr>
      <w:tr w:rsidR="00DF57E2" w:rsidRPr="00466B88" w14:paraId="6BBD9ED8" w14:textId="77777777" w:rsidTr="00DA65BA">
        <w:tc>
          <w:tcPr>
            <w:tcW w:w="1773" w:type="dxa"/>
            <w:shd w:val="clear" w:color="auto" w:fill="DAEEF3" w:themeFill="accent5" w:themeFillTint="33"/>
          </w:tcPr>
          <w:p w14:paraId="54EE1F1D" w14:textId="77777777" w:rsidR="00DF57E2" w:rsidRPr="00466B88" w:rsidRDefault="00DF57E2"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Risk Assessment</w:t>
            </w:r>
          </w:p>
        </w:tc>
        <w:tc>
          <w:tcPr>
            <w:tcW w:w="6862" w:type="dxa"/>
            <w:shd w:val="clear" w:color="auto" w:fill="DAEEF3" w:themeFill="accent5" w:themeFillTint="33"/>
          </w:tcPr>
          <w:p w14:paraId="4E2C8A34" w14:textId="77777777" w:rsidR="00DF57E2" w:rsidRPr="0070214A" w:rsidRDefault="00DF57E2" w:rsidP="007942CC">
            <w:pPr>
              <w:pStyle w:val="Table"/>
              <w:rPr>
                <w:b/>
                <w:bCs/>
                <w:i/>
                <w:lang w:bidi="hi-IN"/>
              </w:rPr>
            </w:pPr>
            <w:r w:rsidRPr="0070214A">
              <w:rPr>
                <w:b/>
                <w:bCs/>
                <w:lang w:bidi="hi-IN"/>
              </w:rPr>
              <w:t xml:space="preserve">One of the five components of COSO </w:t>
            </w:r>
            <w:r w:rsidRPr="0070214A">
              <w:rPr>
                <w:b/>
                <w:bCs/>
                <w:i/>
                <w:lang w:bidi="hi-IN"/>
              </w:rPr>
              <w:t xml:space="preserve">Internal Control Integrated Framework. </w:t>
            </w:r>
          </w:p>
          <w:p w14:paraId="3C7B92DB" w14:textId="14546E06" w:rsidR="00DF57E2" w:rsidRPr="00466B88" w:rsidRDefault="00DF57E2"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 xml:space="preserve">Risk assessment involves a dynamic and iterative process for identifying and analyzing risks to achieving the entity’s objectives, forming a basis for </w:t>
            </w:r>
            <w:r w:rsidRPr="00466B88">
              <w:rPr>
                <w:rFonts w:ascii="Calibri" w:eastAsia="SimSun" w:hAnsi="Calibri" w:cs="Calibri"/>
                <w:kern w:val="3"/>
                <w:lang w:eastAsia="zh-CN" w:bidi="hi-IN"/>
              </w:rPr>
              <w:lastRenderedPageBreak/>
              <w:t>determining how risks should be managed. Management considers possible changes in the external environment and within its own business model that may impede its ability to achieve its objectives. Risk Assessment includes processes for risk identification, risk analysis, and risk response; that risk tolerances and an acceptable level of variation in performance should be considered in the assessment of acceptable risk levels; and the discussion of risk severity includes velocity and persistence in addition to impact and likelihood.</w:t>
            </w:r>
          </w:p>
        </w:tc>
      </w:tr>
      <w:tr w:rsidR="00DF57E2" w:rsidRPr="00466B88" w14:paraId="10F4096F" w14:textId="77777777" w:rsidTr="00DA65BA">
        <w:tc>
          <w:tcPr>
            <w:tcW w:w="1773" w:type="dxa"/>
            <w:shd w:val="clear" w:color="auto" w:fill="EAF1DD" w:themeFill="accent3" w:themeFillTint="33"/>
          </w:tcPr>
          <w:p w14:paraId="6483A2A7" w14:textId="77777777" w:rsidR="00DF57E2" w:rsidRPr="00466B88" w:rsidRDefault="00DF57E2"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lastRenderedPageBreak/>
              <w:t>Risk Capacity</w:t>
            </w:r>
          </w:p>
        </w:tc>
        <w:tc>
          <w:tcPr>
            <w:tcW w:w="6862" w:type="dxa"/>
            <w:shd w:val="clear" w:color="auto" w:fill="EAF1DD" w:themeFill="accent3" w:themeFillTint="33"/>
          </w:tcPr>
          <w:p w14:paraId="2903C6F2" w14:textId="77777777" w:rsidR="00DF57E2" w:rsidRPr="00466B88" w:rsidRDefault="00DF57E2"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The maximum amount of risk that an entity is able to absorb in the pursuit of strategy and business objectives.</w:t>
            </w:r>
          </w:p>
        </w:tc>
      </w:tr>
      <w:tr w:rsidR="00DF57E2" w:rsidRPr="00466B88" w14:paraId="29F5883C" w14:textId="77777777" w:rsidTr="00DA65BA">
        <w:tc>
          <w:tcPr>
            <w:tcW w:w="1773" w:type="dxa"/>
            <w:shd w:val="clear" w:color="auto" w:fill="EAF1DD" w:themeFill="accent3" w:themeFillTint="33"/>
          </w:tcPr>
          <w:p w14:paraId="7D1AA0CA" w14:textId="77777777" w:rsidR="00DF57E2" w:rsidRPr="00466B88" w:rsidRDefault="00DF57E2" w:rsidP="007942CC">
            <w:pPr>
              <w:pStyle w:val="Table"/>
            </w:pPr>
            <w:r w:rsidRPr="00466B88">
              <w:rPr>
                <w:rFonts w:ascii="Calibri" w:eastAsia="SimSun" w:hAnsi="Calibri" w:cs="Calibri"/>
                <w:kern w:val="3"/>
                <w:lang w:eastAsia="zh-CN" w:bidi="hi-IN"/>
              </w:rPr>
              <w:t>Risk Management</w:t>
            </w:r>
          </w:p>
        </w:tc>
        <w:tc>
          <w:tcPr>
            <w:tcW w:w="6862" w:type="dxa"/>
            <w:shd w:val="clear" w:color="auto" w:fill="EAF1DD" w:themeFill="accent3" w:themeFillTint="33"/>
          </w:tcPr>
          <w:p w14:paraId="019771CD" w14:textId="77777777" w:rsidR="00DF57E2" w:rsidRPr="00466B88" w:rsidRDefault="00DF57E2" w:rsidP="007942CC">
            <w:pPr>
              <w:pStyle w:val="Table"/>
            </w:pPr>
            <w:r w:rsidRPr="00466B88">
              <w:rPr>
                <w:rFonts w:ascii="Calibri" w:eastAsia="SimSun" w:hAnsi="Calibri" w:cs="Calibri"/>
                <w:kern w:val="3"/>
                <w:lang w:eastAsia="zh-CN" w:bidi="hi-IN"/>
              </w:rPr>
              <w:t xml:space="preserve">A process to identify, assess, manage, and control potential events or situations to provide reasonable assurance regarding the achievement of the organization’s objectives. </w:t>
            </w:r>
          </w:p>
        </w:tc>
      </w:tr>
      <w:tr w:rsidR="00DF57E2" w:rsidRPr="00466B88" w14:paraId="254895E6" w14:textId="77777777" w:rsidTr="00DA65BA">
        <w:tc>
          <w:tcPr>
            <w:tcW w:w="1773" w:type="dxa"/>
            <w:shd w:val="clear" w:color="auto" w:fill="EAF1DD" w:themeFill="accent3" w:themeFillTint="33"/>
          </w:tcPr>
          <w:p w14:paraId="4B783991" w14:textId="77777777" w:rsidR="00DF57E2" w:rsidRPr="00466B88" w:rsidRDefault="00DF57E2"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 xml:space="preserve">Risk Profile </w:t>
            </w:r>
          </w:p>
        </w:tc>
        <w:tc>
          <w:tcPr>
            <w:tcW w:w="6862" w:type="dxa"/>
            <w:shd w:val="clear" w:color="auto" w:fill="EAF1DD" w:themeFill="accent3" w:themeFillTint="33"/>
          </w:tcPr>
          <w:p w14:paraId="5E4557DD" w14:textId="77777777" w:rsidR="00DF57E2" w:rsidRPr="00466B88" w:rsidRDefault="00DF57E2"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A composite view of the risk assumed at a particular level of the entity, or aspect of the business that positions management to consider the types, severity</w:t>
            </w:r>
            <w:r>
              <w:rPr>
                <w:rFonts w:ascii="Calibri" w:eastAsia="SimSun" w:hAnsi="Calibri" w:cs="Calibri"/>
                <w:kern w:val="3"/>
                <w:lang w:eastAsia="zh-CN" w:bidi="hi-IN"/>
              </w:rPr>
              <w:t>,</w:t>
            </w:r>
            <w:r w:rsidRPr="00466B88">
              <w:rPr>
                <w:rFonts w:ascii="Calibri" w:eastAsia="SimSun" w:hAnsi="Calibri" w:cs="Calibri"/>
                <w:kern w:val="3"/>
                <w:lang w:eastAsia="zh-CN" w:bidi="hi-IN"/>
              </w:rPr>
              <w:t xml:space="preserve"> and interdependencies</w:t>
            </w:r>
            <w:r>
              <w:rPr>
                <w:rFonts w:ascii="Calibri" w:eastAsia="SimSun" w:hAnsi="Calibri" w:cs="Calibri"/>
                <w:kern w:val="3"/>
                <w:lang w:eastAsia="zh-CN" w:bidi="hi-IN"/>
              </w:rPr>
              <w:t>.</w:t>
            </w:r>
          </w:p>
        </w:tc>
      </w:tr>
      <w:tr w:rsidR="00DF57E2" w:rsidRPr="00466B88" w14:paraId="00F0B2E2" w14:textId="77777777" w:rsidTr="00DA65BA">
        <w:tc>
          <w:tcPr>
            <w:tcW w:w="1773" w:type="dxa"/>
            <w:shd w:val="clear" w:color="auto" w:fill="EAF1DD" w:themeFill="accent3" w:themeFillTint="33"/>
          </w:tcPr>
          <w:p w14:paraId="6CAB5F82" w14:textId="77777777" w:rsidR="00DF57E2" w:rsidRPr="00466B88" w:rsidRDefault="00DF57E2"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Risk Register</w:t>
            </w:r>
          </w:p>
        </w:tc>
        <w:tc>
          <w:tcPr>
            <w:tcW w:w="6862" w:type="dxa"/>
            <w:shd w:val="clear" w:color="auto" w:fill="EAF1DD" w:themeFill="accent3" w:themeFillTint="33"/>
          </w:tcPr>
          <w:p w14:paraId="057BFEF5" w14:textId="77777777" w:rsidR="00DF57E2" w:rsidRPr="00466B88" w:rsidRDefault="00DF57E2"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 xml:space="preserve">A listing of all risks that impact an entity which may include proposed risks responses. </w:t>
            </w:r>
          </w:p>
        </w:tc>
      </w:tr>
      <w:tr w:rsidR="00DF57E2" w:rsidRPr="00466B88" w14:paraId="07ABD7FF" w14:textId="77777777" w:rsidTr="00DA65BA">
        <w:tc>
          <w:tcPr>
            <w:tcW w:w="1773" w:type="dxa"/>
            <w:shd w:val="clear" w:color="auto" w:fill="EAF1DD" w:themeFill="accent3" w:themeFillTint="33"/>
          </w:tcPr>
          <w:p w14:paraId="2D0B2C38" w14:textId="77777777" w:rsidR="00DF57E2" w:rsidRPr="00466B88" w:rsidRDefault="00DF57E2"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Risk Tolerance</w:t>
            </w:r>
          </w:p>
        </w:tc>
        <w:tc>
          <w:tcPr>
            <w:tcW w:w="6862" w:type="dxa"/>
            <w:shd w:val="clear" w:color="auto" w:fill="EAF1DD" w:themeFill="accent3" w:themeFillTint="33"/>
          </w:tcPr>
          <w:p w14:paraId="20AC28F4" w14:textId="77777777" w:rsidR="00DF57E2" w:rsidRPr="00466B88" w:rsidRDefault="00DF57E2"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The boundaries of acceptable variation in performance related to achieving business objectives.</w:t>
            </w:r>
          </w:p>
        </w:tc>
      </w:tr>
      <w:tr w:rsidR="00DF57E2" w:rsidRPr="00466B88" w14:paraId="2FA8B335" w14:textId="77777777" w:rsidTr="00DA65BA">
        <w:tc>
          <w:tcPr>
            <w:tcW w:w="1773" w:type="dxa"/>
            <w:shd w:val="clear" w:color="auto" w:fill="EAF1DD" w:themeFill="accent3" w:themeFillTint="33"/>
          </w:tcPr>
          <w:p w14:paraId="11E96027" w14:textId="77777777" w:rsidR="00DF57E2" w:rsidRPr="00466B88" w:rsidRDefault="00DF57E2"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Speed of Onset or Velocity</w:t>
            </w:r>
          </w:p>
        </w:tc>
        <w:tc>
          <w:tcPr>
            <w:tcW w:w="6862" w:type="dxa"/>
            <w:shd w:val="clear" w:color="auto" w:fill="EAF1DD" w:themeFill="accent3" w:themeFillTint="33"/>
          </w:tcPr>
          <w:p w14:paraId="411A7935" w14:textId="77777777" w:rsidR="00DF57E2" w:rsidRPr="00466B88" w:rsidRDefault="00DF57E2"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The time it takes for a risk event to manifest itself or the time that elapses between the occurrence of an event and the point at which the organization first feels its effects.</w:t>
            </w:r>
          </w:p>
        </w:tc>
      </w:tr>
      <w:tr w:rsidR="00DF57E2" w:rsidRPr="00466B88" w14:paraId="5227FFF8" w14:textId="77777777" w:rsidTr="00DA65BA">
        <w:tc>
          <w:tcPr>
            <w:tcW w:w="1773" w:type="dxa"/>
            <w:shd w:val="clear" w:color="auto" w:fill="auto"/>
          </w:tcPr>
          <w:p w14:paraId="5B88E134" w14:textId="77777777" w:rsidR="00DF57E2" w:rsidRPr="00466B88" w:rsidRDefault="00DF57E2"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Stakeholders</w:t>
            </w:r>
          </w:p>
        </w:tc>
        <w:tc>
          <w:tcPr>
            <w:tcW w:w="6862" w:type="dxa"/>
            <w:shd w:val="clear" w:color="auto" w:fill="auto"/>
          </w:tcPr>
          <w:p w14:paraId="2D34803A" w14:textId="77777777" w:rsidR="00DF57E2" w:rsidRPr="00466B88" w:rsidRDefault="00DF57E2"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Parties that have a genuine or vested interest in the entity.</w:t>
            </w:r>
          </w:p>
        </w:tc>
      </w:tr>
      <w:tr w:rsidR="00DF57E2" w:rsidRPr="000573FF" w14:paraId="4200BC8C" w14:textId="77777777" w:rsidTr="00DA65BA">
        <w:tc>
          <w:tcPr>
            <w:tcW w:w="1773" w:type="dxa"/>
            <w:shd w:val="clear" w:color="auto" w:fill="EAF1DD" w:themeFill="accent3" w:themeFillTint="33"/>
          </w:tcPr>
          <w:p w14:paraId="6393B132" w14:textId="77777777" w:rsidR="00DF57E2" w:rsidRPr="00956539" w:rsidRDefault="00DF57E2" w:rsidP="007942CC">
            <w:pPr>
              <w:pStyle w:val="Table"/>
              <w:rPr>
                <w:rFonts w:eastAsia="SimSun" w:cstheme="majorHAnsi"/>
                <w:color w:val="000000" w:themeColor="text1"/>
                <w:kern w:val="3"/>
                <w:lang w:eastAsia="zh-CN" w:bidi="hi-IN"/>
              </w:rPr>
            </w:pPr>
            <w:r w:rsidRPr="00956539">
              <w:rPr>
                <w:rFonts w:cstheme="majorHAnsi"/>
                <w:bCs/>
                <w:color w:val="000000" w:themeColor="text1"/>
              </w:rPr>
              <w:t>Target residual risk</w:t>
            </w:r>
          </w:p>
        </w:tc>
        <w:tc>
          <w:tcPr>
            <w:tcW w:w="6862" w:type="dxa"/>
            <w:shd w:val="clear" w:color="auto" w:fill="EAF1DD" w:themeFill="accent3" w:themeFillTint="33"/>
          </w:tcPr>
          <w:p w14:paraId="3401BEC8" w14:textId="77777777" w:rsidR="00DF57E2" w:rsidRPr="00956539" w:rsidRDefault="00DF57E2" w:rsidP="007942CC">
            <w:pPr>
              <w:pStyle w:val="Table"/>
              <w:rPr>
                <w:rFonts w:cstheme="majorHAnsi"/>
                <w:color w:val="000000" w:themeColor="text1"/>
              </w:rPr>
            </w:pPr>
            <w:r w:rsidRPr="00956539">
              <w:rPr>
                <w:rFonts w:cstheme="majorHAnsi"/>
                <w:color w:val="000000" w:themeColor="text1"/>
              </w:rPr>
              <w:t xml:space="preserve">The amount of risk that an entity prefers to assume in the pursuit of its strategy and business objectives, knowing that management will implement, or has implemented, direct or focused actions to alter the severity of the risk. </w:t>
            </w:r>
          </w:p>
        </w:tc>
      </w:tr>
      <w:tr w:rsidR="002E1674" w:rsidRPr="000573FF" w14:paraId="0BAE2FD5" w14:textId="77777777" w:rsidTr="00935328">
        <w:tc>
          <w:tcPr>
            <w:tcW w:w="1773" w:type="dxa"/>
            <w:shd w:val="clear" w:color="auto" w:fill="E5DFEC" w:themeFill="accent4" w:themeFillTint="33"/>
          </w:tcPr>
          <w:p w14:paraId="7C42BF0F" w14:textId="00C111E3" w:rsidR="002E1674" w:rsidRPr="00956539" w:rsidRDefault="002E1674" w:rsidP="007942CC">
            <w:pPr>
              <w:pStyle w:val="Table"/>
              <w:rPr>
                <w:rFonts w:cstheme="majorHAnsi"/>
                <w:bCs/>
                <w:color w:val="000000" w:themeColor="text1"/>
              </w:rPr>
            </w:pPr>
            <w:r>
              <w:rPr>
                <w:rFonts w:cstheme="majorHAnsi"/>
                <w:bCs/>
                <w:color w:val="000000" w:themeColor="text1"/>
              </w:rPr>
              <w:t xml:space="preserve">Value </w:t>
            </w:r>
            <w:proofErr w:type="gramStart"/>
            <w:r>
              <w:rPr>
                <w:rFonts w:cstheme="majorHAnsi"/>
                <w:bCs/>
                <w:color w:val="000000" w:themeColor="text1"/>
              </w:rPr>
              <w:t>For</w:t>
            </w:r>
            <w:proofErr w:type="gramEnd"/>
            <w:r>
              <w:rPr>
                <w:rFonts w:cstheme="majorHAnsi"/>
                <w:bCs/>
                <w:color w:val="000000" w:themeColor="text1"/>
              </w:rPr>
              <w:t xml:space="preserve"> Money</w:t>
            </w:r>
          </w:p>
        </w:tc>
        <w:tc>
          <w:tcPr>
            <w:tcW w:w="6862" w:type="dxa"/>
            <w:shd w:val="clear" w:color="auto" w:fill="E5DFEC" w:themeFill="accent4" w:themeFillTint="33"/>
          </w:tcPr>
          <w:p w14:paraId="27A8A427" w14:textId="0FAA7F06" w:rsidR="002E1674" w:rsidRPr="00956539" w:rsidRDefault="002E1674" w:rsidP="007942CC">
            <w:pPr>
              <w:pStyle w:val="Table"/>
              <w:rPr>
                <w:rFonts w:cstheme="majorHAnsi"/>
                <w:color w:val="000000" w:themeColor="text1"/>
              </w:rPr>
            </w:pPr>
            <w:r w:rsidRPr="002E1674">
              <w:rPr>
                <w:rFonts w:cstheme="majorHAnsi"/>
                <w:color w:val="000000" w:themeColor="text1"/>
              </w:rPr>
              <w:t>Good value for money is the optimal use of resources to achieve the intended outcomes. ‘Optimal’ means ‘the most desirable possible given expressed or implied restrictions or constraints’. Value for money is not about achieving the lowest initial price.</w:t>
            </w:r>
            <w:r w:rsidR="00935328">
              <w:rPr>
                <w:rStyle w:val="FootnoteReference"/>
                <w:rFonts w:cstheme="majorHAnsi"/>
                <w:color w:val="000000" w:themeColor="text1"/>
              </w:rPr>
              <w:footnoteReference w:id="7"/>
            </w:r>
          </w:p>
        </w:tc>
      </w:tr>
    </w:tbl>
    <w:p w14:paraId="314E220C" w14:textId="77777777" w:rsidR="004005B6" w:rsidRPr="003E7B6E" w:rsidRDefault="003E7B6E" w:rsidP="00DF57E2">
      <w:pPr>
        <w:pStyle w:val="ListParagraph"/>
        <w:rPr>
          <w:b/>
          <w:bCs/>
          <w:u w:val="single"/>
        </w:rPr>
      </w:pPr>
      <w:r w:rsidRPr="003E7B6E">
        <w:rPr>
          <w:b/>
          <w:bCs/>
          <w:u w:val="single"/>
        </w:rPr>
        <w:t>Legend</w:t>
      </w:r>
    </w:p>
    <w:tbl>
      <w:tblPr>
        <w:tblStyle w:val="TableGrid"/>
        <w:tblW w:w="8640" w:type="dxa"/>
        <w:tblInd w:w="-5" w:type="dxa"/>
        <w:tblLook w:val="04A0" w:firstRow="1" w:lastRow="0" w:firstColumn="1" w:lastColumn="0" w:noHBand="0" w:noVBand="1"/>
      </w:tblPr>
      <w:tblGrid>
        <w:gridCol w:w="8640"/>
      </w:tblGrid>
      <w:tr w:rsidR="003E7B6E" w14:paraId="5FD0D272" w14:textId="77777777" w:rsidTr="00166EFC">
        <w:trPr>
          <w:trHeight w:val="395"/>
        </w:trPr>
        <w:tc>
          <w:tcPr>
            <w:tcW w:w="8640" w:type="dxa"/>
            <w:shd w:val="clear" w:color="auto" w:fill="auto"/>
          </w:tcPr>
          <w:p w14:paraId="1D7D0260" w14:textId="77777777" w:rsidR="003E7B6E" w:rsidRPr="0070214A" w:rsidRDefault="003E7B6E" w:rsidP="00B92DBE">
            <w:pPr>
              <w:pStyle w:val="Table"/>
            </w:pPr>
            <w:r>
              <w:t xml:space="preserve">Generic terms that relate to Public Internal </w:t>
            </w:r>
            <w:r w:rsidR="002C534E">
              <w:t xml:space="preserve">Financial </w:t>
            </w:r>
            <w:r>
              <w:t>Control</w:t>
            </w:r>
          </w:p>
        </w:tc>
      </w:tr>
      <w:tr w:rsidR="003E7B6E" w14:paraId="3F7A2C82" w14:textId="77777777" w:rsidTr="003E7B6E">
        <w:tc>
          <w:tcPr>
            <w:tcW w:w="8640" w:type="dxa"/>
            <w:shd w:val="clear" w:color="auto" w:fill="EAF1DD" w:themeFill="accent3" w:themeFillTint="33"/>
          </w:tcPr>
          <w:p w14:paraId="268E630A" w14:textId="77777777" w:rsidR="003E7B6E" w:rsidRDefault="003E7B6E" w:rsidP="00B92DBE">
            <w:pPr>
              <w:pStyle w:val="Table"/>
            </w:pPr>
            <w:r>
              <w:t>Terms that relate to Risk Management</w:t>
            </w:r>
          </w:p>
        </w:tc>
      </w:tr>
      <w:tr w:rsidR="003E7B6E" w14:paraId="1D87855D" w14:textId="77777777" w:rsidTr="003E7B6E">
        <w:tc>
          <w:tcPr>
            <w:tcW w:w="8640" w:type="dxa"/>
            <w:shd w:val="clear" w:color="auto" w:fill="DAEEF3" w:themeFill="accent5" w:themeFillTint="33"/>
          </w:tcPr>
          <w:p w14:paraId="4D0A41B4" w14:textId="77777777" w:rsidR="003E7B6E" w:rsidRDefault="003E7B6E" w:rsidP="00B92DBE">
            <w:pPr>
              <w:pStyle w:val="Table"/>
            </w:pPr>
            <w:r>
              <w:t>Terms that relate to COSO based Internal Control</w:t>
            </w:r>
          </w:p>
        </w:tc>
      </w:tr>
      <w:tr w:rsidR="003E7B6E" w14:paraId="5F9CDF5D" w14:textId="77777777" w:rsidTr="003E7B6E">
        <w:tc>
          <w:tcPr>
            <w:tcW w:w="8640" w:type="dxa"/>
            <w:shd w:val="clear" w:color="auto" w:fill="E5DFEC" w:themeFill="accent4" w:themeFillTint="33"/>
          </w:tcPr>
          <w:p w14:paraId="7313F4A2" w14:textId="77777777" w:rsidR="003E7B6E" w:rsidRDefault="003E7B6E" w:rsidP="00B92DBE">
            <w:pPr>
              <w:pStyle w:val="Table"/>
            </w:pPr>
            <w:r>
              <w:lastRenderedPageBreak/>
              <w:t>Terms that relate to the elements of a performance Management Framework</w:t>
            </w:r>
          </w:p>
        </w:tc>
      </w:tr>
    </w:tbl>
    <w:p w14:paraId="2031DE03" w14:textId="77777777" w:rsidR="003E7B6E" w:rsidRDefault="003E7B6E" w:rsidP="00DF57E2">
      <w:pPr>
        <w:pStyle w:val="ListParagraph"/>
      </w:pPr>
    </w:p>
    <w:p w14:paraId="1C304D23" w14:textId="77777777" w:rsidR="004005B6" w:rsidRDefault="003E7B6E" w:rsidP="003E7B6E">
      <w:pPr>
        <w:pStyle w:val="Heading1"/>
        <w:jc w:val="center"/>
      </w:pPr>
      <w:r>
        <w:t>S</w:t>
      </w:r>
      <w:r w:rsidR="004005B6">
        <w:t xml:space="preserve">ection B1 </w:t>
      </w:r>
      <w:r w:rsidR="00AC6457" w:rsidRPr="00AC6457">
        <w:t xml:space="preserve">Generic terms </w:t>
      </w:r>
      <w:r>
        <w:t>THAT RELATE</w:t>
      </w:r>
      <w:r w:rsidR="00AC6457" w:rsidRPr="00AC6457">
        <w:t xml:space="preserve"> to </w:t>
      </w:r>
      <w:r>
        <w:br/>
      </w:r>
      <w:r w:rsidR="00AC6457" w:rsidRPr="00AC6457">
        <w:t xml:space="preserve">Public Internal </w:t>
      </w:r>
      <w:r w:rsidR="002C534E">
        <w:t xml:space="preserve">FINANCIAL </w:t>
      </w:r>
      <w:r w:rsidR="00AC6457" w:rsidRPr="00AC6457">
        <w:t>Control</w:t>
      </w:r>
    </w:p>
    <w:p w14:paraId="040BE9C5" w14:textId="77777777" w:rsidR="00A566DA" w:rsidRPr="00A566DA" w:rsidRDefault="00A566DA" w:rsidP="00A566DA">
      <w:pPr>
        <w:rPr>
          <w:lang w:eastAsia="ja-JP"/>
        </w:rPr>
      </w:pPr>
    </w:p>
    <w:tbl>
      <w:tblPr>
        <w:tblStyle w:val="TableGrid"/>
        <w:tblW w:w="8635" w:type="dxa"/>
        <w:tblLook w:val="04A0" w:firstRow="1" w:lastRow="0" w:firstColumn="1" w:lastColumn="0" w:noHBand="0" w:noVBand="1"/>
      </w:tblPr>
      <w:tblGrid>
        <w:gridCol w:w="1705"/>
        <w:gridCol w:w="6930"/>
      </w:tblGrid>
      <w:tr w:rsidR="004005B6" w:rsidRPr="00466B88" w14:paraId="20E027B5" w14:textId="77777777" w:rsidTr="007942CC">
        <w:trPr>
          <w:tblHeader/>
        </w:trPr>
        <w:tc>
          <w:tcPr>
            <w:tcW w:w="1705" w:type="dxa"/>
          </w:tcPr>
          <w:p w14:paraId="5813EAEE" w14:textId="77777777" w:rsidR="004005B6" w:rsidRPr="00466B88" w:rsidRDefault="004005B6" w:rsidP="007942CC">
            <w:pPr>
              <w:pStyle w:val="Table"/>
              <w:jc w:val="center"/>
              <w:rPr>
                <w:b/>
                <w:sz w:val="24"/>
                <w:szCs w:val="24"/>
              </w:rPr>
            </w:pPr>
            <w:r w:rsidRPr="00466B88">
              <w:rPr>
                <w:b/>
                <w:sz w:val="24"/>
                <w:szCs w:val="24"/>
              </w:rPr>
              <w:t>Terminology</w:t>
            </w:r>
          </w:p>
        </w:tc>
        <w:tc>
          <w:tcPr>
            <w:tcW w:w="6930" w:type="dxa"/>
          </w:tcPr>
          <w:p w14:paraId="0F28876D" w14:textId="77777777" w:rsidR="004005B6" w:rsidRPr="00466B88" w:rsidRDefault="004005B6" w:rsidP="007942CC">
            <w:pPr>
              <w:pStyle w:val="Table"/>
              <w:jc w:val="center"/>
              <w:rPr>
                <w:b/>
                <w:sz w:val="24"/>
                <w:szCs w:val="24"/>
              </w:rPr>
            </w:pPr>
            <w:r w:rsidRPr="00466B88">
              <w:rPr>
                <w:b/>
                <w:sz w:val="24"/>
                <w:szCs w:val="24"/>
              </w:rPr>
              <w:t>Definition</w:t>
            </w:r>
          </w:p>
        </w:tc>
      </w:tr>
      <w:tr w:rsidR="004005B6" w:rsidRPr="00466B88" w14:paraId="3BD4C1E3" w14:textId="77777777" w:rsidTr="007942CC">
        <w:tc>
          <w:tcPr>
            <w:tcW w:w="1705" w:type="dxa"/>
          </w:tcPr>
          <w:p w14:paraId="52600CB1" w14:textId="77777777" w:rsidR="004005B6" w:rsidRPr="00466B88" w:rsidRDefault="004005B6" w:rsidP="007942CC">
            <w:pPr>
              <w:pStyle w:val="Table"/>
            </w:pPr>
            <w:r w:rsidRPr="00466B88">
              <w:t>Accountability</w:t>
            </w:r>
          </w:p>
        </w:tc>
        <w:tc>
          <w:tcPr>
            <w:tcW w:w="6930" w:type="dxa"/>
          </w:tcPr>
          <w:p w14:paraId="49D3B625" w14:textId="77777777" w:rsidR="004005B6" w:rsidRPr="00466B88" w:rsidRDefault="004005B6" w:rsidP="007942CC">
            <w:pPr>
              <w:pStyle w:val="Table"/>
            </w:pPr>
            <w:r w:rsidRPr="00466B88">
              <w:t>The obligations of persons or entities, including public enterprises and corporations, entrusted with public resources to be answerable for the financial, managerial</w:t>
            </w:r>
            <w:r>
              <w:t>,</w:t>
            </w:r>
            <w:r w:rsidRPr="00466B88">
              <w:t xml:space="preserve"> and program responsibilities that have been conferred on the manager, and to report to those that have conferred these responsibilities. </w:t>
            </w:r>
          </w:p>
          <w:p w14:paraId="59FF8D18" w14:textId="77777777" w:rsidR="004005B6" w:rsidRPr="00466B88" w:rsidRDefault="004005B6" w:rsidP="007942CC">
            <w:pPr>
              <w:pStyle w:val="Table"/>
            </w:pPr>
            <w:r w:rsidRPr="00466B88">
              <w:t>It means that persons are held responsible for carrying out a defined set of duties or tasks, and for conforming with rules and standards applicable to their posts. The person or body to which individuals answer for their actions is made explicit and they may be rewarded for good performance or suffer the consequences of inadequate performance.</w:t>
            </w:r>
          </w:p>
        </w:tc>
      </w:tr>
      <w:tr w:rsidR="004005B6" w:rsidRPr="00466B88" w14:paraId="1C016156" w14:textId="77777777" w:rsidTr="007942CC">
        <w:tc>
          <w:tcPr>
            <w:tcW w:w="1705" w:type="dxa"/>
            <w:shd w:val="clear" w:color="auto" w:fill="auto"/>
          </w:tcPr>
          <w:p w14:paraId="62987B59" w14:textId="77777777" w:rsidR="004005B6" w:rsidRPr="00466B88" w:rsidRDefault="004005B6" w:rsidP="007942CC">
            <w:pPr>
              <w:pStyle w:val="Table"/>
            </w:pPr>
            <w:r w:rsidRPr="00466B88">
              <w:t>Audit Evidence</w:t>
            </w:r>
            <w:r w:rsidRPr="00466B88">
              <w:rPr>
                <w:rStyle w:val="FootnoteReference"/>
              </w:rPr>
              <w:footnoteReference w:id="8"/>
            </w:r>
          </w:p>
        </w:tc>
        <w:tc>
          <w:tcPr>
            <w:tcW w:w="6930" w:type="dxa"/>
            <w:shd w:val="clear" w:color="auto" w:fill="auto"/>
          </w:tcPr>
          <w:p w14:paraId="0EC0F846" w14:textId="77777777" w:rsidR="004005B6" w:rsidRPr="00466B88" w:rsidRDefault="004005B6" w:rsidP="007942CC">
            <w:pPr>
              <w:pStyle w:val="Table"/>
            </w:pPr>
            <w:r w:rsidRPr="00466B88">
              <w:t>Information, which supports the opinions, conclusions or reports of the auditors, internal audit services</w:t>
            </w:r>
            <w:r>
              <w:t>,</w:t>
            </w:r>
            <w:r w:rsidRPr="00466B88">
              <w:t xml:space="preserve"> or SAI. It should be sufficient</w:t>
            </w:r>
            <w:r>
              <w:t>ly</w:t>
            </w:r>
            <w:r w:rsidRPr="00466B88">
              <w:t xml:space="preserve"> reliable and relevant to support the opinions and conclusions made. </w:t>
            </w:r>
          </w:p>
        </w:tc>
      </w:tr>
      <w:tr w:rsidR="004005B6" w:rsidRPr="00466B88" w14:paraId="0D8F0A50" w14:textId="77777777" w:rsidTr="007942CC">
        <w:tc>
          <w:tcPr>
            <w:tcW w:w="1705" w:type="dxa"/>
            <w:shd w:val="clear" w:color="auto" w:fill="auto"/>
          </w:tcPr>
          <w:p w14:paraId="7BFFD3CA" w14:textId="77777777" w:rsidR="004005B6" w:rsidRPr="00466B88" w:rsidRDefault="004005B6" w:rsidP="007942CC">
            <w:pPr>
              <w:pStyle w:val="Table"/>
            </w:pPr>
            <w:r w:rsidRPr="00466B88">
              <w:t>Audit Mandate</w:t>
            </w:r>
          </w:p>
        </w:tc>
        <w:tc>
          <w:tcPr>
            <w:tcW w:w="6930" w:type="dxa"/>
            <w:shd w:val="clear" w:color="auto" w:fill="auto"/>
          </w:tcPr>
          <w:p w14:paraId="206CEB63" w14:textId="77777777" w:rsidR="004005B6" w:rsidRPr="00466B88" w:rsidRDefault="004005B6" w:rsidP="007942CC">
            <w:pPr>
              <w:pStyle w:val="Table"/>
            </w:pPr>
            <w:r w:rsidRPr="00466B88">
              <w:t>The auditing responsibilities, powers, discretion</w:t>
            </w:r>
            <w:r>
              <w:t>,</w:t>
            </w:r>
            <w:r w:rsidRPr="00466B88">
              <w:t xml:space="preserve"> and duties conferred on any audit body (e.g. the SAI) under the constitution or other lawful authority of a country (as set out in primary or secondary national legislation).</w:t>
            </w:r>
          </w:p>
        </w:tc>
      </w:tr>
      <w:tr w:rsidR="004005B6" w:rsidRPr="00466B88" w14:paraId="7370A974" w14:textId="77777777" w:rsidTr="007942CC">
        <w:tc>
          <w:tcPr>
            <w:tcW w:w="1705" w:type="dxa"/>
            <w:shd w:val="clear" w:color="auto" w:fill="auto"/>
          </w:tcPr>
          <w:p w14:paraId="438B4E44" w14:textId="77777777" w:rsidR="004005B6" w:rsidRPr="00466B88" w:rsidRDefault="004005B6" w:rsidP="007942CC">
            <w:pPr>
              <w:pStyle w:val="Table"/>
            </w:pPr>
            <w:r w:rsidRPr="00466B88">
              <w:t>Audit Objective</w:t>
            </w:r>
          </w:p>
        </w:tc>
        <w:tc>
          <w:tcPr>
            <w:tcW w:w="6930" w:type="dxa"/>
            <w:shd w:val="clear" w:color="auto" w:fill="auto"/>
          </w:tcPr>
          <w:p w14:paraId="5246712D" w14:textId="77777777" w:rsidR="004005B6" w:rsidRPr="00466B88" w:rsidRDefault="004005B6" w:rsidP="007942CC">
            <w:pPr>
              <w:pStyle w:val="Table"/>
            </w:pPr>
            <w:r w:rsidRPr="00466B88">
              <w:rPr>
                <w:rFonts w:ascii="Calibri" w:eastAsia="Times New Roman" w:hAnsi="Calibri"/>
              </w:rPr>
              <w:t>A precise statement of what the audit intends to accomplish and/or the question the audit will answer. This may include financial, regularity</w:t>
            </w:r>
            <w:r>
              <w:rPr>
                <w:rFonts w:ascii="Calibri" w:eastAsia="Times New Roman" w:hAnsi="Calibri"/>
              </w:rPr>
              <w:t>,</w:t>
            </w:r>
            <w:r w:rsidRPr="00466B88">
              <w:rPr>
                <w:rFonts w:ascii="Calibri" w:eastAsia="Times New Roman" w:hAnsi="Calibri"/>
              </w:rPr>
              <w:t xml:space="preserve"> or performance issues.</w:t>
            </w:r>
          </w:p>
        </w:tc>
      </w:tr>
      <w:tr w:rsidR="004005B6" w:rsidRPr="00466B88" w14:paraId="3AFEB0F7" w14:textId="77777777" w:rsidTr="007942CC">
        <w:tc>
          <w:tcPr>
            <w:tcW w:w="1705" w:type="dxa"/>
            <w:shd w:val="clear" w:color="auto" w:fill="auto"/>
          </w:tcPr>
          <w:p w14:paraId="4421CCBD" w14:textId="77777777" w:rsidR="004005B6" w:rsidRPr="00466B88" w:rsidRDefault="004005B6" w:rsidP="007942CC">
            <w:pPr>
              <w:pStyle w:val="Table"/>
            </w:pPr>
            <w:r w:rsidRPr="00466B88">
              <w:t>Audit Procedures</w:t>
            </w:r>
          </w:p>
        </w:tc>
        <w:tc>
          <w:tcPr>
            <w:tcW w:w="6930" w:type="dxa"/>
            <w:shd w:val="clear" w:color="auto" w:fill="auto"/>
          </w:tcPr>
          <w:p w14:paraId="5FB84367" w14:textId="77777777" w:rsidR="004005B6" w:rsidRPr="00466B88" w:rsidRDefault="004005B6" w:rsidP="007942CC">
            <w:pPr>
              <w:pStyle w:val="Table"/>
            </w:pPr>
            <w:r w:rsidRPr="00466B88">
              <w:t>Tests, instructions</w:t>
            </w:r>
            <w:r>
              <w:t>,</w:t>
            </w:r>
            <w:r w:rsidRPr="00466B88">
              <w:t xml:space="preserve"> and details included in the audit program to be carried out systematically and reasonably.</w:t>
            </w:r>
          </w:p>
        </w:tc>
      </w:tr>
      <w:tr w:rsidR="004005B6" w:rsidRPr="00466B88" w14:paraId="7839CA1A" w14:textId="77777777" w:rsidTr="007942CC">
        <w:tc>
          <w:tcPr>
            <w:tcW w:w="1705" w:type="dxa"/>
            <w:shd w:val="clear" w:color="auto" w:fill="auto"/>
          </w:tcPr>
          <w:p w14:paraId="57D7D8CF" w14:textId="77777777" w:rsidR="004005B6" w:rsidRPr="00466B88" w:rsidRDefault="004005B6" w:rsidP="007942CC">
            <w:pPr>
              <w:pStyle w:val="Table"/>
            </w:pPr>
            <w:r w:rsidRPr="00466B88">
              <w:t>Audit Scope</w:t>
            </w:r>
          </w:p>
        </w:tc>
        <w:tc>
          <w:tcPr>
            <w:tcW w:w="6930" w:type="dxa"/>
            <w:shd w:val="clear" w:color="auto" w:fill="auto"/>
          </w:tcPr>
          <w:p w14:paraId="0EA55851" w14:textId="77777777" w:rsidR="004005B6" w:rsidRPr="00466B88" w:rsidRDefault="004005B6" w:rsidP="007942CC">
            <w:pPr>
              <w:pStyle w:val="Table"/>
            </w:pPr>
            <w:r w:rsidRPr="00466B88">
              <w:t>The framework or limits of the subject of an audit.</w:t>
            </w:r>
          </w:p>
        </w:tc>
      </w:tr>
      <w:tr w:rsidR="004005B6" w:rsidRPr="00466B88" w14:paraId="624970E0" w14:textId="77777777" w:rsidTr="007942CC">
        <w:tc>
          <w:tcPr>
            <w:tcW w:w="1705" w:type="dxa"/>
            <w:shd w:val="clear" w:color="auto" w:fill="auto"/>
          </w:tcPr>
          <w:p w14:paraId="5C0B4DDE" w14:textId="77777777" w:rsidR="004005B6" w:rsidRPr="00466B88" w:rsidRDefault="004005B6" w:rsidP="007942CC">
            <w:pPr>
              <w:pStyle w:val="Table"/>
            </w:pPr>
            <w:r w:rsidRPr="00466B88">
              <w:t>Audited Entity</w:t>
            </w:r>
          </w:p>
        </w:tc>
        <w:tc>
          <w:tcPr>
            <w:tcW w:w="6930" w:type="dxa"/>
            <w:shd w:val="clear" w:color="auto" w:fill="auto"/>
          </w:tcPr>
          <w:p w14:paraId="38B71265" w14:textId="77777777" w:rsidR="004005B6" w:rsidRPr="00466B88" w:rsidRDefault="004005B6" w:rsidP="007942CC">
            <w:pPr>
              <w:pStyle w:val="Table"/>
            </w:pPr>
            <w:r w:rsidRPr="00466B88">
              <w:t>The organization, program, activity</w:t>
            </w:r>
            <w:r>
              <w:t>,</w:t>
            </w:r>
            <w:r w:rsidRPr="00466B88">
              <w:t xml:space="preserve"> or functions subject to audit by the SAI or the (internal) audit service</w:t>
            </w:r>
            <w:r>
              <w:t>.</w:t>
            </w:r>
          </w:p>
        </w:tc>
      </w:tr>
      <w:tr w:rsidR="004005B6" w:rsidRPr="00466B88" w14:paraId="3BA891A8" w14:textId="77777777" w:rsidTr="007942CC">
        <w:tc>
          <w:tcPr>
            <w:tcW w:w="1705" w:type="dxa"/>
            <w:shd w:val="clear" w:color="auto" w:fill="auto"/>
          </w:tcPr>
          <w:p w14:paraId="367C2674" w14:textId="77777777" w:rsidR="004005B6" w:rsidRPr="00466B88" w:rsidRDefault="004005B6" w:rsidP="007942CC">
            <w:pPr>
              <w:pStyle w:val="Table"/>
            </w:pPr>
            <w:r w:rsidRPr="00466B88">
              <w:t>Board</w:t>
            </w:r>
          </w:p>
        </w:tc>
        <w:tc>
          <w:tcPr>
            <w:tcW w:w="6930" w:type="dxa"/>
            <w:shd w:val="clear" w:color="auto" w:fill="auto"/>
          </w:tcPr>
          <w:p w14:paraId="53DC0B41" w14:textId="77777777" w:rsidR="004005B6" w:rsidRPr="00466B88" w:rsidRDefault="004005B6" w:rsidP="007942CC">
            <w:pPr>
              <w:pStyle w:val="Table"/>
            </w:pPr>
            <w:r w:rsidRPr="00466B88">
              <w:t xml:space="preserve">The </w:t>
            </w:r>
            <w:proofErr w:type="gramStart"/>
            <w:r w:rsidRPr="00466B88">
              <w:t>highest level</w:t>
            </w:r>
            <w:proofErr w:type="gramEnd"/>
            <w:r w:rsidRPr="00466B88">
              <w:t xml:space="preserve"> governing body (e.g., a board of directors, a supervisory board, or a board of governors or trustees) charged with the responsibility to direct and/or oversee the organization’s activities and hold senior management accountable. Although governance arrangements vary among jurisdictions and sectors, typically the board includes members who are not part of management. If a board does not exist, the word “board” in the Standards refers to a group or person charged with </w:t>
            </w:r>
            <w:r w:rsidRPr="00466B88">
              <w:lastRenderedPageBreak/>
              <w:t xml:space="preserve">governance of the organization. Furthermore, “board” in the Standards may refer to a committee or another body to which the governing body has delegated certain functions (e.g., an audit committee). </w:t>
            </w:r>
          </w:p>
        </w:tc>
      </w:tr>
      <w:tr w:rsidR="004005B6" w:rsidRPr="00466B88" w14:paraId="548ABEE3" w14:textId="77777777" w:rsidTr="007942CC">
        <w:tc>
          <w:tcPr>
            <w:tcW w:w="1705" w:type="dxa"/>
          </w:tcPr>
          <w:p w14:paraId="4CE8BA17" w14:textId="77777777" w:rsidR="004005B6" w:rsidRPr="00466B88" w:rsidRDefault="004005B6" w:rsidP="007942CC">
            <w:pPr>
              <w:pStyle w:val="Table"/>
            </w:pPr>
            <w:r w:rsidRPr="00466B88">
              <w:lastRenderedPageBreak/>
              <w:t>Central Harmonization Unit</w:t>
            </w:r>
          </w:p>
        </w:tc>
        <w:tc>
          <w:tcPr>
            <w:tcW w:w="6930" w:type="dxa"/>
          </w:tcPr>
          <w:p w14:paraId="1737D8F4" w14:textId="777666D8" w:rsidR="004005B6" w:rsidRPr="00466B88" w:rsidRDefault="004005B6" w:rsidP="007942CC">
            <w:pPr>
              <w:pStyle w:val="Table"/>
            </w:pPr>
            <w:r w:rsidRPr="00466B88">
              <w:t xml:space="preserve">A policy unit attached and </w:t>
            </w:r>
            <w:r w:rsidR="00F242E2">
              <w:t xml:space="preserve">often </w:t>
            </w:r>
            <w:r w:rsidRPr="00466B88">
              <w:t xml:space="preserve">directly reporting to the Minister of Finance responsible for overseeing the status of public internal </w:t>
            </w:r>
            <w:r w:rsidR="002C534E">
              <w:t xml:space="preserve">financial </w:t>
            </w:r>
            <w:r w:rsidRPr="00466B88">
              <w:t>control in the entire public sector</w:t>
            </w:r>
          </w:p>
        </w:tc>
      </w:tr>
      <w:tr w:rsidR="004005B6" w:rsidRPr="00466B88" w14:paraId="13CD8CE5" w14:textId="77777777" w:rsidTr="007942CC">
        <w:tc>
          <w:tcPr>
            <w:tcW w:w="1705" w:type="dxa"/>
          </w:tcPr>
          <w:p w14:paraId="4F4715D8" w14:textId="77777777" w:rsidR="004005B6" w:rsidRPr="00466B88" w:rsidRDefault="004005B6" w:rsidP="007942CC">
            <w:pPr>
              <w:pStyle w:val="Table"/>
            </w:pPr>
            <w:r w:rsidRPr="00466B88">
              <w:rPr>
                <w:lang w:bidi="hi-IN"/>
              </w:rPr>
              <w:t>Conflict of Interest</w:t>
            </w:r>
          </w:p>
        </w:tc>
        <w:tc>
          <w:tcPr>
            <w:tcW w:w="6930" w:type="dxa"/>
          </w:tcPr>
          <w:p w14:paraId="751DD050" w14:textId="77777777" w:rsidR="004005B6" w:rsidRPr="00466B88" w:rsidRDefault="004005B6" w:rsidP="007942CC">
            <w:pPr>
              <w:pStyle w:val="Table"/>
            </w:pPr>
            <w:r w:rsidRPr="00466B88">
              <w:rPr>
                <w:lang w:bidi="hi-IN"/>
              </w:rPr>
              <w:t xml:space="preserve">Any relationship that is, or appears to be, not in the best interest of the organization. A conflict of interest would prejudice an individual’s ability to perform his or her duties and responsibilities objectively. </w:t>
            </w:r>
          </w:p>
        </w:tc>
      </w:tr>
      <w:tr w:rsidR="004005B6" w:rsidRPr="00466B88" w14:paraId="193B31A8" w14:textId="77777777" w:rsidTr="007942CC">
        <w:tc>
          <w:tcPr>
            <w:tcW w:w="1705" w:type="dxa"/>
          </w:tcPr>
          <w:p w14:paraId="26848A8F" w14:textId="77777777" w:rsidR="004005B6" w:rsidRPr="00466B88" w:rsidRDefault="004005B6" w:rsidP="007942CC">
            <w:pPr>
              <w:pStyle w:val="Table"/>
              <w:rPr>
                <w:lang w:bidi="hi-IN"/>
              </w:rPr>
            </w:pPr>
            <w:r w:rsidRPr="00466B88">
              <w:rPr>
                <w:lang w:bidi="hi-IN"/>
              </w:rPr>
              <w:t>Ethics</w:t>
            </w:r>
          </w:p>
        </w:tc>
        <w:tc>
          <w:tcPr>
            <w:tcW w:w="6930" w:type="dxa"/>
          </w:tcPr>
          <w:p w14:paraId="45C45D46" w14:textId="77777777" w:rsidR="004005B6" w:rsidRPr="00466B88" w:rsidRDefault="004005B6" w:rsidP="007942CC">
            <w:pPr>
              <w:pStyle w:val="Table"/>
              <w:rPr>
                <w:lang w:bidi="hi-IN"/>
              </w:rPr>
            </w:pPr>
            <w:r w:rsidRPr="00466B88">
              <w:rPr>
                <w:lang w:bidi="hi-IN"/>
              </w:rPr>
              <w:t xml:space="preserve">Ethics in the public sector cover four main areas: setting public service roles and values as well as responsibilities and levels of authority and accountability; measures to prevent conflicts of interest and ways of resolving them; setting the rules (standards) of conduct of public servants; setting rules for dealing with serious irregularities and fraud. Management responsible for the </w:t>
            </w:r>
            <w:r w:rsidRPr="00466B88">
              <w:t xml:space="preserve">financial management and control </w:t>
            </w:r>
            <w:r w:rsidRPr="00466B88">
              <w:rPr>
                <w:lang w:bidi="hi-IN"/>
              </w:rPr>
              <w:t xml:space="preserve">system is expected to make use of tools promoting and raising awareness of ethical values in management and control. </w:t>
            </w:r>
            <w:r w:rsidRPr="00466B88">
              <w:rPr>
                <w:lang w:bidi="hi-IN"/>
              </w:rPr>
              <w:br/>
              <w:t>For internal auditors in particular, ethics imply the four principles of integrity, objectivity, confidentiality</w:t>
            </w:r>
            <w:r>
              <w:rPr>
                <w:lang w:bidi="hi-IN"/>
              </w:rPr>
              <w:t>,</w:t>
            </w:r>
            <w:r w:rsidRPr="00466B88">
              <w:rPr>
                <w:lang w:bidi="hi-IN"/>
              </w:rPr>
              <w:t xml:space="preserve"> and competency.</w:t>
            </w:r>
          </w:p>
        </w:tc>
      </w:tr>
      <w:tr w:rsidR="004005B6" w:rsidRPr="00466B88" w14:paraId="579273FD" w14:textId="77777777" w:rsidTr="007942CC">
        <w:tc>
          <w:tcPr>
            <w:tcW w:w="1705" w:type="dxa"/>
          </w:tcPr>
          <w:p w14:paraId="0EECAABD" w14:textId="77777777" w:rsidR="004005B6" w:rsidRPr="00466B88" w:rsidRDefault="004005B6" w:rsidP="007942CC">
            <w:pPr>
              <w:pStyle w:val="Table"/>
            </w:pPr>
            <w:r w:rsidRPr="00466B88">
              <w:rPr>
                <w:lang w:bidi="hi-IN"/>
              </w:rPr>
              <w:t>External Service Provider</w:t>
            </w:r>
          </w:p>
        </w:tc>
        <w:tc>
          <w:tcPr>
            <w:tcW w:w="6930" w:type="dxa"/>
          </w:tcPr>
          <w:p w14:paraId="285ECAAF" w14:textId="77777777" w:rsidR="004005B6" w:rsidRPr="00466B88" w:rsidRDefault="004005B6" w:rsidP="007942CC">
            <w:pPr>
              <w:pStyle w:val="Table"/>
            </w:pPr>
            <w:r w:rsidRPr="00466B88">
              <w:rPr>
                <w:lang w:bidi="hi-IN"/>
              </w:rPr>
              <w:t xml:space="preserve">A person or firm outside of the organization that has special knowledge, skill, and experience in a particular discipline. </w:t>
            </w:r>
          </w:p>
        </w:tc>
      </w:tr>
      <w:tr w:rsidR="004005B6" w:rsidRPr="00466B88" w14:paraId="777862D1" w14:textId="77777777" w:rsidTr="007942CC">
        <w:tc>
          <w:tcPr>
            <w:tcW w:w="1705" w:type="dxa"/>
          </w:tcPr>
          <w:p w14:paraId="287897A3" w14:textId="77777777" w:rsidR="004005B6" w:rsidRPr="00466B88" w:rsidRDefault="004005B6" w:rsidP="007942CC">
            <w:pPr>
              <w:pStyle w:val="Table"/>
              <w:rPr>
                <w:lang w:bidi="hi-IN"/>
              </w:rPr>
            </w:pPr>
            <w:r w:rsidRPr="00466B88">
              <w:rPr>
                <w:bCs/>
                <w:lang w:bidi="hi-IN"/>
              </w:rPr>
              <w:t>External Environment</w:t>
            </w:r>
          </w:p>
        </w:tc>
        <w:tc>
          <w:tcPr>
            <w:tcW w:w="6930" w:type="dxa"/>
          </w:tcPr>
          <w:p w14:paraId="355E232E" w14:textId="77777777" w:rsidR="004005B6" w:rsidRPr="00466B88" w:rsidRDefault="004005B6" w:rsidP="007942CC">
            <w:pPr>
              <w:pStyle w:val="Table"/>
              <w:rPr>
                <w:lang w:bidi="hi-IN"/>
              </w:rPr>
            </w:pPr>
            <w:r w:rsidRPr="00466B88">
              <w:rPr>
                <w:lang w:bidi="hi-IN"/>
              </w:rPr>
              <w:t>Anything outside of the entity that influences the ability to achieve its strategy and business objectives</w:t>
            </w:r>
            <w:r>
              <w:rPr>
                <w:lang w:bidi="hi-IN"/>
              </w:rPr>
              <w:t>.</w:t>
            </w:r>
          </w:p>
        </w:tc>
      </w:tr>
      <w:tr w:rsidR="004005B6" w:rsidRPr="00466B88" w14:paraId="0E0E5CAA" w14:textId="77777777" w:rsidTr="007942CC">
        <w:tc>
          <w:tcPr>
            <w:tcW w:w="1705" w:type="dxa"/>
          </w:tcPr>
          <w:p w14:paraId="6073D439" w14:textId="77777777" w:rsidR="004005B6" w:rsidRPr="00466B88" w:rsidRDefault="004005B6" w:rsidP="007942CC">
            <w:pPr>
              <w:pStyle w:val="Table"/>
              <w:rPr>
                <w:lang w:bidi="hi-IN"/>
              </w:rPr>
            </w:pPr>
            <w:r w:rsidRPr="00466B88">
              <w:rPr>
                <w:bCs/>
                <w:lang w:bidi="hi-IN"/>
              </w:rPr>
              <w:t>External Stakeholders</w:t>
            </w:r>
          </w:p>
        </w:tc>
        <w:tc>
          <w:tcPr>
            <w:tcW w:w="6930" w:type="dxa"/>
          </w:tcPr>
          <w:p w14:paraId="56A188EA" w14:textId="77777777" w:rsidR="004005B6" w:rsidRPr="00466B88" w:rsidRDefault="004005B6" w:rsidP="007942CC">
            <w:pPr>
              <w:pStyle w:val="Table"/>
              <w:rPr>
                <w:lang w:bidi="hi-IN"/>
              </w:rPr>
            </w:pPr>
            <w:r w:rsidRPr="00466B88">
              <w:rPr>
                <w:lang w:bidi="hi-IN"/>
              </w:rPr>
              <w:t>Any parties not directly engaged in the entity’s operations but who are affected by the entity; directly influence the entity’s business environment or influence the entity’s reputation.</w:t>
            </w:r>
          </w:p>
        </w:tc>
      </w:tr>
      <w:tr w:rsidR="004005B6" w:rsidRPr="00466B88" w14:paraId="61497645" w14:textId="77777777" w:rsidTr="007942CC">
        <w:tc>
          <w:tcPr>
            <w:tcW w:w="1705" w:type="dxa"/>
          </w:tcPr>
          <w:p w14:paraId="5805AF90" w14:textId="77777777" w:rsidR="004005B6" w:rsidRPr="00466B88" w:rsidRDefault="004005B6" w:rsidP="007942CC">
            <w:pPr>
              <w:pStyle w:val="Table"/>
              <w:rPr>
                <w:bCs/>
                <w:lang w:bidi="hi-IN"/>
              </w:rPr>
            </w:pPr>
            <w:r w:rsidRPr="00466B88">
              <w:rPr>
                <w:bCs/>
                <w:lang w:bidi="hi-IN"/>
              </w:rPr>
              <w:t>Financial Management &amp; Control</w:t>
            </w:r>
          </w:p>
        </w:tc>
        <w:tc>
          <w:tcPr>
            <w:tcW w:w="6930" w:type="dxa"/>
          </w:tcPr>
          <w:p w14:paraId="6D2CFDED" w14:textId="77777777" w:rsidR="004005B6" w:rsidRPr="00466B88" w:rsidRDefault="004005B6" w:rsidP="007942CC">
            <w:pPr>
              <w:pStyle w:val="Table"/>
              <w:rPr>
                <w:lang w:bidi="hi-IN"/>
              </w:rPr>
            </w:pPr>
            <w:r w:rsidRPr="00466B88">
              <w:rPr>
                <w:lang w:bidi="hi-IN"/>
              </w:rPr>
              <w:t>Term developed by the European Union which means the comprehensive internal control system that is established by and is the responsibility of the head of the entity, and which, together with risk management, provides reasonable assurances that the budget and other public funds will be used properly, economically, efficiently</w:t>
            </w:r>
            <w:r>
              <w:rPr>
                <w:lang w:bidi="hi-IN"/>
              </w:rPr>
              <w:t>,</w:t>
            </w:r>
            <w:r w:rsidRPr="00466B88">
              <w:rPr>
                <w:lang w:bidi="hi-IN"/>
              </w:rPr>
              <w:t xml:space="preserve"> and effectively in the accomplishment of relevant objectives of the entity. </w:t>
            </w:r>
          </w:p>
          <w:p w14:paraId="72166C66" w14:textId="77777777" w:rsidR="004005B6" w:rsidRPr="00466B88" w:rsidRDefault="004005B6" w:rsidP="007942CC">
            <w:pPr>
              <w:pStyle w:val="Table"/>
              <w:rPr>
                <w:lang w:bidi="hi-IN"/>
              </w:rPr>
            </w:pPr>
            <w:r w:rsidRPr="00466B88">
              <w:rPr>
                <w:lang w:bidi="hi-IN"/>
              </w:rPr>
              <w:t xml:space="preserve">This term is closely related with the term internal control but is often used to also capture the generic accountability of public sector managers to their stakeholders. </w:t>
            </w:r>
          </w:p>
        </w:tc>
      </w:tr>
      <w:tr w:rsidR="004005B6" w:rsidRPr="00466B88" w14:paraId="74C62739" w14:textId="77777777" w:rsidTr="007942CC">
        <w:tc>
          <w:tcPr>
            <w:tcW w:w="1705" w:type="dxa"/>
          </w:tcPr>
          <w:p w14:paraId="5A4B2096" w14:textId="77777777" w:rsidR="004005B6" w:rsidRPr="00466B88" w:rsidRDefault="004005B6" w:rsidP="007942CC">
            <w:pPr>
              <w:pStyle w:val="Table"/>
            </w:pPr>
            <w:r w:rsidRPr="00466B88">
              <w:rPr>
                <w:lang w:bidi="hi-IN"/>
              </w:rPr>
              <w:t>Fraud</w:t>
            </w:r>
          </w:p>
        </w:tc>
        <w:tc>
          <w:tcPr>
            <w:tcW w:w="6930" w:type="dxa"/>
          </w:tcPr>
          <w:p w14:paraId="0F2E0D6F" w14:textId="77777777" w:rsidR="004005B6" w:rsidRPr="00466B88" w:rsidRDefault="004005B6" w:rsidP="007942CC">
            <w:pPr>
              <w:pStyle w:val="Table"/>
            </w:pPr>
            <w:r w:rsidRPr="00466B88">
              <w:rPr>
                <w:lang w:bidi="hi-IN"/>
              </w:rPr>
              <w:t xml:space="preserve">Any illegal act characterized by deceit, concealment, or violation of trust. These acts are not dependent upon the threat of violence or physical force. Frauds are perpetrated by parties and organizations to obtain money, property, or services; to avoid payment or loss of services; or to secure personal or business advantage. </w:t>
            </w:r>
          </w:p>
        </w:tc>
      </w:tr>
      <w:tr w:rsidR="004005B6" w:rsidRPr="00466B88" w14:paraId="5BC0CFC8" w14:textId="77777777" w:rsidTr="007942CC">
        <w:tc>
          <w:tcPr>
            <w:tcW w:w="1705" w:type="dxa"/>
          </w:tcPr>
          <w:p w14:paraId="70DBB5FB" w14:textId="77777777" w:rsidR="004005B6" w:rsidRPr="00466B88" w:rsidRDefault="004005B6" w:rsidP="007942CC">
            <w:pPr>
              <w:pStyle w:val="Table"/>
            </w:pPr>
            <w:r w:rsidRPr="00466B88">
              <w:rPr>
                <w:lang w:bidi="hi-IN"/>
              </w:rPr>
              <w:t>Governance</w:t>
            </w:r>
          </w:p>
        </w:tc>
        <w:tc>
          <w:tcPr>
            <w:tcW w:w="6930" w:type="dxa"/>
          </w:tcPr>
          <w:p w14:paraId="37E15D30" w14:textId="77777777" w:rsidR="004005B6" w:rsidRPr="00466B88" w:rsidRDefault="004005B6" w:rsidP="007942CC">
            <w:pPr>
              <w:pStyle w:val="Table"/>
            </w:pPr>
            <w:r w:rsidRPr="00466B88">
              <w:rPr>
                <w:lang w:bidi="hi-IN"/>
              </w:rPr>
              <w:t xml:space="preserve">The combination of processes and structures implemented by the </w:t>
            </w:r>
            <w:r w:rsidRPr="00466B88">
              <w:t>governing bodies</w:t>
            </w:r>
            <w:r w:rsidRPr="00466B88">
              <w:rPr>
                <w:lang w:bidi="hi-IN"/>
              </w:rPr>
              <w:t xml:space="preserve"> to inform, direct, manage, and monitor the activities of </w:t>
            </w:r>
            <w:r w:rsidRPr="00466B88">
              <w:rPr>
                <w:lang w:bidi="hi-IN"/>
              </w:rPr>
              <w:lastRenderedPageBreak/>
              <w:t>the organization toward the achievement of its objectives. That is: the systems and processes that ensure the overall effectiveness of an entity – whether a business, government</w:t>
            </w:r>
            <w:r>
              <w:rPr>
                <w:lang w:bidi="hi-IN"/>
              </w:rPr>
              <w:t>,</w:t>
            </w:r>
            <w:r w:rsidRPr="00466B88">
              <w:rPr>
                <w:lang w:bidi="hi-IN"/>
              </w:rPr>
              <w:t xml:space="preserve"> or multilateral institution.</w:t>
            </w:r>
          </w:p>
        </w:tc>
      </w:tr>
      <w:tr w:rsidR="00CF3B48" w:rsidRPr="00466B88" w14:paraId="1A11080C" w14:textId="77777777" w:rsidTr="00CF3B48">
        <w:tc>
          <w:tcPr>
            <w:tcW w:w="1705" w:type="dxa"/>
            <w:shd w:val="clear" w:color="auto" w:fill="auto"/>
          </w:tcPr>
          <w:p w14:paraId="5D456956" w14:textId="77777777" w:rsidR="00CF3B48" w:rsidRPr="00466B88" w:rsidRDefault="00CF3B48" w:rsidP="00024D2C">
            <w:pPr>
              <w:pStyle w:val="Table"/>
              <w:rPr>
                <w:rFonts w:ascii="Calibri" w:eastAsia="SimSun" w:hAnsi="Calibri" w:cs="Calibri"/>
                <w:bCs/>
                <w:kern w:val="3"/>
                <w:lang w:eastAsia="zh-CN" w:bidi="hi-IN"/>
              </w:rPr>
            </w:pPr>
            <w:r>
              <w:rPr>
                <w:rFonts w:ascii="Calibri" w:eastAsia="SimSun" w:hAnsi="Calibri" w:cs="Calibri"/>
                <w:bCs/>
                <w:kern w:val="3"/>
                <w:lang w:eastAsia="zh-CN" w:bidi="hi-IN"/>
              </w:rPr>
              <w:lastRenderedPageBreak/>
              <w:t>Organization or Entity</w:t>
            </w:r>
          </w:p>
        </w:tc>
        <w:tc>
          <w:tcPr>
            <w:tcW w:w="6930" w:type="dxa"/>
            <w:shd w:val="clear" w:color="auto" w:fill="auto"/>
          </w:tcPr>
          <w:p w14:paraId="4AE6F9FC" w14:textId="77777777" w:rsidR="00CF3B48" w:rsidRPr="00466B88" w:rsidRDefault="00CF3B48" w:rsidP="00024D2C">
            <w:pPr>
              <w:pStyle w:val="Table"/>
              <w:rPr>
                <w:rFonts w:ascii="Calibri" w:eastAsia="SimSun" w:hAnsi="Calibri" w:cs="Calibri"/>
                <w:kern w:val="3"/>
                <w:lang w:eastAsia="zh-CN" w:bidi="hi-IN"/>
              </w:rPr>
            </w:pPr>
            <w:r w:rsidRPr="00CF3B48">
              <w:rPr>
                <w:rFonts w:ascii="Calibri" w:eastAsia="SimSun" w:hAnsi="Calibri" w:cs="Calibri"/>
                <w:kern w:val="3"/>
                <w:lang w:eastAsia="zh-CN" w:bidi="hi-IN"/>
              </w:rPr>
              <w:t>Any form of for-profit</w:t>
            </w:r>
            <w:r>
              <w:rPr>
                <w:rFonts w:ascii="Calibri" w:eastAsia="SimSun" w:hAnsi="Calibri" w:cs="Calibri"/>
                <w:kern w:val="3"/>
                <w:lang w:eastAsia="zh-CN" w:bidi="hi-IN"/>
              </w:rPr>
              <w:t xml:space="preserve"> and</w:t>
            </w:r>
            <w:r w:rsidRPr="00CF3B48">
              <w:rPr>
                <w:rFonts w:ascii="Calibri" w:eastAsia="SimSun" w:hAnsi="Calibri" w:cs="Calibri"/>
                <w:kern w:val="3"/>
                <w:lang w:eastAsia="zh-CN" w:bidi="hi-IN"/>
              </w:rPr>
              <w:t xml:space="preserve"> not-for-profit</w:t>
            </w:r>
            <w:r>
              <w:rPr>
                <w:rFonts w:ascii="Calibri" w:eastAsia="SimSun" w:hAnsi="Calibri" w:cs="Calibri"/>
                <w:kern w:val="3"/>
                <w:lang w:eastAsia="zh-CN" w:bidi="hi-IN"/>
              </w:rPr>
              <w:t xml:space="preserve"> organization/entity</w:t>
            </w:r>
            <w:r w:rsidRPr="00CF3B48">
              <w:rPr>
                <w:rFonts w:ascii="Calibri" w:eastAsia="SimSun" w:hAnsi="Calibri" w:cs="Calibri"/>
                <w:kern w:val="3"/>
                <w:lang w:eastAsia="zh-CN" w:bidi="hi-IN"/>
              </w:rPr>
              <w:t xml:space="preserve"> or governmental body. An organization/entity may be publicly listed, privately owned, owned through a cooperative structure, or any</w:t>
            </w:r>
            <w:r>
              <w:rPr>
                <w:rFonts w:ascii="Calibri" w:eastAsia="SimSun" w:hAnsi="Calibri" w:cs="Calibri"/>
                <w:kern w:val="3"/>
                <w:lang w:eastAsia="zh-CN" w:bidi="hi-IN"/>
              </w:rPr>
              <w:t xml:space="preserve"> </w:t>
            </w:r>
            <w:r w:rsidRPr="00CF3B48">
              <w:rPr>
                <w:rFonts w:ascii="Calibri" w:eastAsia="SimSun" w:hAnsi="Calibri" w:cs="Calibri"/>
                <w:kern w:val="3"/>
                <w:lang w:eastAsia="zh-CN" w:bidi="hi-IN"/>
              </w:rPr>
              <w:t>other legal structure </w:t>
            </w:r>
          </w:p>
        </w:tc>
      </w:tr>
      <w:tr w:rsidR="004005B6" w:rsidRPr="00466B88" w14:paraId="2358E497" w14:textId="77777777" w:rsidTr="007942CC">
        <w:tc>
          <w:tcPr>
            <w:tcW w:w="1705" w:type="dxa"/>
          </w:tcPr>
          <w:p w14:paraId="05555136" w14:textId="77777777" w:rsidR="004005B6" w:rsidRPr="00466B88" w:rsidRDefault="004005B6" w:rsidP="007942CC">
            <w:pPr>
              <w:pStyle w:val="Table"/>
              <w:rPr>
                <w:rFonts w:ascii="Calibri" w:eastAsia="SimSun" w:hAnsi="Calibri" w:cs="Calibri"/>
                <w:bCs/>
                <w:kern w:val="3"/>
                <w:lang w:eastAsia="zh-CN" w:bidi="hi-IN"/>
              </w:rPr>
            </w:pPr>
            <w:r w:rsidRPr="00466B88">
              <w:rPr>
                <w:rFonts w:ascii="Calibri" w:eastAsia="SimSun" w:hAnsi="Calibri" w:cs="Calibri"/>
                <w:bCs/>
                <w:kern w:val="3"/>
                <w:lang w:eastAsia="zh-CN" w:bidi="hi-IN"/>
              </w:rPr>
              <w:t>Performance Management</w:t>
            </w:r>
          </w:p>
        </w:tc>
        <w:tc>
          <w:tcPr>
            <w:tcW w:w="6930" w:type="dxa"/>
          </w:tcPr>
          <w:p w14:paraId="351936D2" w14:textId="77777777" w:rsidR="004005B6" w:rsidRPr="00466B88" w:rsidRDefault="004005B6"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The measurement of efforts to achieve or exceed the strategy and business objectives.</w:t>
            </w:r>
          </w:p>
        </w:tc>
      </w:tr>
      <w:tr w:rsidR="004005B6" w:rsidRPr="00466B88" w14:paraId="7DCE7504" w14:textId="77777777" w:rsidTr="007942CC">
        <w:tc>
          <w:tcPr>
            <w:tcW w:w="1705" w:type="dxa"/>
          </w:tcPr>
          <w:p w14:paraId="24464794" w14:textId="77777777" w:rsidR="004005B6" w:rsidRPr="00466B88" w:rsidRDefault="004005B6" w:rsidP="007942CC">
            <w:pPr>
              <w:pStyle w:val="Table"/>
              <w:rPr>
                <w:rFonts w:ascii="Calibri" w:eastAsia="SimSun" w:hAnsi="Calibri" w:cs="Calibri"/>
                <w:bCs/>
                <w:kern w:val="3"/>
                <w:lang w:eastAsia="zh-CN" w:bidi="hi-IN"/>
              </w:rPr>
            </w:pPr>
            <w:r w:rsidRPr="00466B88">
              <w:rPr>
                <w:rFonts w:ascii="Calibri" w:eastAsia="SimSun" w:hAnsi="Calibri" w:cs="Calibri"/>
                <w:bCs/>
                <w:kern w:val="3"/>
                <w:lang w:eastAsia="zh-CN" w:bidi="hi-IN"/>
              </w:rPr>
              <w:t>Public Internal Financial Control (PIFC)</w:t>
            </w:r>
          </w:p>
        </w:tc>
        <w:tc>
          <w:tcPr>
            <w:tcW w:w="6930" w:type="dxa"/>
          </w:tcPr>
          <w:p w14:paraId="3734C09F" w14:textId="77777777" w:rsidR="004005B6" w:rsidRPr="00466B88" w:rsidRDefault="004005B6"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The terminology used by the European Commission during the process of enlargement to capture the need for the improvements in Internal Control, Internal Audit and Central Harmoni</w:t>
            </w:r>
            <w:r>
              <w:rPr>
                <w:rFonts w:ascii="Calibri" w:eastAsia="SimSun" w:hAnsi="Calibri" w:cs="Calibri"/>
                <w:kern w:val="3"/>
                <w:lang w:eastAsia="zh-CN" w:bidi="hi-IN"/>
              </w:rPr>
              <w:t>z</w:t>
            </w:r>
            <w:r w:rsidRPr="00466B88">
              <w:rPr>
                <w:rFonts w:ascii="Calibri" w:eastAsia="SimSun" w:hAnsi="Calibri" w:cs="Calibri"/>
                <w:kern w:val="3"/>
                <w:lang w:eastAsia="zh-CN" w:bidi="hi-IN"/>
              </w:rPr>
              <w:t>ation.  This term has now been replaced by Public Internal Control (PIC) to reflect the fact that internal control is more than just financial control.</w:t>
            </w:r>
          </w:p>
        </w:tc>
      </w:tr>
      <w:tr w:rsidR="004005B6" w:rsidRPr="00466B88" w14:paraId="654993A0" w14:textId="77777777" w:rsidTr="007942CC">
        <w:tc>
          <w:tcPr>
            <w:tcW w:w="1705" w:type="dxa"/>
          </w:tcPr>
          <w:p w14:paraId="746C11D0" w14:textId="77777777" w:rsidR="004005B6" w:rsidRPr="00466B88" w:rsidRDefault="004005B6" w:rsidP="007942CC">
            <w:pPr>
              <w:pStyle w:val="Table"/>
              <w:rPr>
                <w:rFonts w:ascii="Calibri" w:eastAsia="SimSun" w:hAnsi="Calibri" w:cs="Calibri"/>
                <w:bCs/>
                <w:kern w:val="3"/>
                <w:lang w:eastAsia="zh-CN" w:bidi="hi-IN"/>
              </w:rPr>
            </w:pPr>
            <w:r w:rsidRPr="00466B88">
              <w:rPr>
                <w:rFonts w:ascii="Calibri" w:eastAsia="SimSun" w:hAnsi="Calibri" w:cs="Calibri"/>
                <w:bCs/>
                <w:kern w:val="3"/>
                <w:lang w:eastAsia="zh-CN" w:bidi="hi-IN"/>
              </w:rPr>
              <w:t xml:space="preserve">Public Internal Control </w:t>
            </w:r>
          </w:p>
        </w:tc>
        <w:tc>
          <w:tcPr>
            <w:tcW w:w="6930" w:type="dxa"/>
          </w:tcPr>
          <w:p w14:paraId="70F44009" w14:textId="77777777" w:rsidR="004005B6" w:rsidRPr="00466B88" w:rsidRDefault="004005B6"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The term now used in place of Public Internal Financial Control to express the three elements of Internal Control Internal Audit and Central Harmoni</w:t>
            </w:r>
            <w:r>
              <w:rPr>
                <w:rFonts w:ascii="Calibri" w:eastAsia="SimSun" w:hAnsi="Calibri" w:cs="Calibri"/>
                <w:kern w:val="3"/>
                <w:lang w:eastAsia="zh-CN" w:bidi="hi-IN"/>
              </w:rPr>
              <w:t>z</w:t>
            </w:r>
            <w:r w:rsidRPr="00466B88">
              <w:rPr>
                <w:rFonts w:ascii="Calibri" w:eastAsia="SimSun" w:hAnsi="Calibri" w:cs="Calibri"/>
                <w:kern w:val="3"/>
                <w:lang w:eastAsia="zh-CN" w:bidi="hi-IN"/>
              </w:rPr>
              <w:t xml:space="preserve">ation required for best practice financial management. </w:t>
            </w:r>
          </w:p>
        </w:tc>
      </w:tr>
      <w:tr w:rsidR="004005B6" w:rsidRPr="00466B88" w14:paraId="6844BD09" w14:textId="77777777" w:rsidTr="007942CC">
        <w:tc>
          <w:tcPr>
            <w:tcW w:w="1705" w:type="dxa"/>
          </w:tcPr>
          <w:p w14:paraId="52B152CA" w14:textId="77777777" w:rsidR="004005B6" w:rsidRPr="00466B88" w:rsidRDefault="004005B6"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Stakeholders</w:t>
            </w:r>
          </w:p>
        </w:tc>
        <w:tc>
          <w:tcPr>
            <w:tcW w:w="6930" w:type="dxa"/>
          </w:tcPr>
          <w:p w14:paraId="77C1FE46" w14:textId="77777777" w:rsidR="004005B6" w:rsidRPr="00466B88" w:rsidRDefault="004005B6"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Parties that have a genuine or vested interest in the entity.</w:t>
            </w:r>
          </w:p>
        </w:tc>
      </w:tr>
    </w:tbl>
    <w:p w14:paraId="3014FAFB" w14:textId="77777777" w:rsidR="004005B6" w:rsidRDefault="004005B6" w:rsidP="00DF57E2">
      <w:pPr>
        <w:pStyle w:val="ListParagraph"/>
      </w:pPr>
    </w:p>
    <w:p w14:paraId="2FED3A90" w14:textId="77777777" w:rsidR="004005B6" w:rsidRDefault="004005B6">
      <w:pPr>
        <w:spacing w:after="200"/>
        <w:rPr>
          <w:rFonts w:ascii="Calibri" w:eastAsia="SimSun" w:hAnsi="Calibri" w:cs="Calibri"/>
          <w:kern w:val="3"/>
          <w:lang w:eastAsia="zh-CN" w:bidi="hi-IN"/>
        </w:rPr>
      </w:pPr>
      <w:r>
        <w:br w:type="page"/>
      </w:r>
    </w:p>
    <w:p w14:paraId="599E5DA5" w14:textId="2C0B0D73" w:rsidR="007942CC" w:rsidRDefault="007942CC">
      <w:pPr>
        <w:spacing w:after="200"/>
        <w:rPr>
          <w:rFonts w:ascii="Calibri" w:eastAsia="SimSun" w:hAnsi="Calibri" w:cs="Calibri"/>
          <w:kern w:val="3"/>
          <w:lang w:eastAsia="zh-CN" w:bidi="hi-IN"/>
        </w:rPr>
      </w:pPr>
    </w:p>
    <w:p w14:paraId="2B7B762F" w14:textId="3F0FCB18" w:rsidR="007942CC" w:rsidRDefault="00AC6457" w:rsidP="007942CC">
      <w:pPr>
        <w:pStyle w:val="Heading1"/>
      </w:pPr>
      <w:r>
        <w:t>S</w:t>
      </w:r>
      <w:r w:rsidR="007942CC">
        <w:t>ection B</w:t>
      </w:r>
      <w:r w:rsidR="0017200B">
        <w:t>2</w:t>
      </w:r>
      <w:r w:rsidR="007942CC">
        <w:t xml:space="preserve"> terms </w:t>
      </w:r>
      <w:r w:rsidR="003E7B6E">
        <w:t>that relate</w:t>
      </w:r>
      <w:r w:rsidR="007942CC">
        <w:t xml:space="preserve"> to risk </w:t>
      </w:r>
      <w:r>
        <w:t>management</w:t>
      </w:r>
    </w:p>
    <w:p w14:paraId="3A71AA7D" w14:textId="77777777" w:rsidR="00AC6457" w:rsidRPr="00AC6457" w:rsidRDefault="00AC6457" w:rsidP="00AC6457">
      <w:pPr>
        <w:rPr>
          <w:lang w:eastAsia="ja-JP"/>
        </w:rPr>
      </w:pPr>
    </w:p>
    <w:tbl>
      <w:tblPr>
        <w:tblStyle w:val="TableGrid"/>
        <w:tblW w:w="8635" w:type="dxa"/>
        <w:shd w:val="clear" w:color="auto" w:fill="EAF1DD" w:themeFill="accent3" w:themeFillTint="33"/>
        <w:tblLook w:val="04A0" w:firstRow="1" w:lastRow="0" w:firstColumn="1" w:lastColumn="0" w:noHBand="0" w:noVBand="1"/>
      </w:tblPr>
      <w:tblGrid>
        <w:gridCol w:w="1705"/>
        <w:gridCol w:w="6930"/>
      </w:tblGrid>
      <w:tr w:rsidR="007942CC" w:rsidRPr="00466B88" w14:paraId="465CB812" w14:textId="77777777" w:rsidTr="00D1626C">
        <w:trPr>
          <w:tblHeader/>
        </w:trPr>
        <w:tc>
          <w:tcPr>
            <w:tcW w:w="1705" w:type="dxa"/>
            <w:shd w:val="clear" w:color="auto" w:fill="EAF1DD" w:themeFill="accent3" w:themeFillTint="33"/>
          </w:tcPr>
          <w:p w14:paraId="35A646D7" w14:textId="77777777" w:rsidR="007942CC" w:rsidRPr="00466B88" w:rsidRDefault="007942CC" w:rsidP="007942CC">
            <w:pPr>
              <w:pStyle w:val="Table"/>
              <w:jc w:val="center"/>
              <w:rPr>
                <w:b/>
                <w:sz w:val="24"/>
                <w:szCs w:val="24"/>
              </w:rPr>
            </w:pPr>
            <w:r w:rsidRPr="00466B88">
              <w:rPr>
                <w:b/>
                <w:sz w:val="24"/>
                <w:szCs w:val="24"/>
              </w:rPr>
              <w:t>Terminology</w:t>
            </w:r>
          </w:p>
        </w:tc>
        <w:tc>
          <w:tcPr>
            <w:tcW w:w="6930" w:type="dxa"/>
            <w:shd w:val="clear" w:color="auto" w:fill="EAF1DD" w:themeFill="accent3" w:themeFillTint="33"/>
          </w:tcPr>
          <w:p w14:paraId="46F8803E" w14:textId="77777777" w:rsidR="007942CC" w:rsidRPr="00466B88" w:rsidRDefault="007942CC" w:rsidP="007942CC">
            <w:pPr>
              <w:pStyle w:val="Table"/>
              <w:jc w:val="center"/>
              <w:rPr>
                <w:b/>
                <w:sz w:val="24"/>
                <w:szCs w:val="24"/>
              </w:rPr>
            </w:pPr>
            <w:r w:rsidRPr="00466B88">
              <w:rPr>
                <w:b/>
                <w:sz w:val="24"/>
                <w:szCs w:val="24"/>
              </w:rPr>
              <w:t>Definition</w:t>
            </w:r>
          </w:p>
        </w:tc>
      </w:tr>
      <w:tr w:rsidR="007942CC" w:rsidRPr="00466B88" w14:paraId="4E727EBE" w14:textId="77777777" w:rsidTr="00D1626C">
        <w:tc>
          <w:tcPr>
            <w:tcW w:w="1705" w:type="dxa"/>
            <w:shd w:val="clear" w:color="auto" w:fill="EAF1DD" w:themeFill="accent3" w:themeFillTint="33"/>
          </w:tcPr>
          <w:p w14:paraId="6E0E5371" w14:textId="77777777" w:rsidR="007942CC" w:rsidRPr="00466B88" w:rsidRDefault="007942CC" w:rsidP="007942CC">
            <w:pPr>
              <w:pStyle w:val="Table"/>
              <w:rPr>
                <w:lang w:bidi="hi-IN"/>
              </w:rPr>
            </w:pPr>
            <w:r w:rsidRPr="00466B88">
              <w:rPr>
                <w:lang w:bidi="hi-IN"/>
              </w:rPr>
              <w:t>Enterprise Risk Management</w:t>
            </w:r>
          </w:p>
        </w:tc>
        <w:tc>
          <w:tcPr>
            <w:tcW w:w="6930" w:type="dxa"/>
            <w:shd w:val="clear" w:color="auto" w:fill="EAF1DD" w:themeFill="accent3" w:themeFillTint="33"/>
          </w:tcPr>
          <w:p w14:paraId="36A40C23" w14:textId="77777777" w:rsidR="007942CC" w:rsidRPr="00466B88" w:rsidRDefault="007942CC" w:rsidP="007942CC">
            <w:pPr>
              <w:pStyle w:val="Table"/>
              <w:rPr>
                <w:lang w:bidi="hi-IN"/>
              </w:rPr>
            </w:pPr>
            <w:r w:rsidRPr="00466B88">
              <w:rPr>
                <w:lang w:bidi="hi-IN"/>
              </w:rPr>
              <w:t>The culture, capabilities</w:t>
            </w:r>
            <w:r>
              <w:rPr>
                <w:lang w:bidi="hi-IN"/>
              </w:rPr>
              <w:t>,</w:t>
            </w:r>
            <w:r w:rsidRPr="00466B88">
              <w:rPr>
                <w:lang w:bidi="hi-IN"/>
              </w:rPr>
              <w:t xml:space="preserve"> and practices, integrated with strategy-setting and its performance, that organizations rely on to manage risk in creating, preserving</w:t>
            </w:r>
            <w:r>
              <w:rPr>
                <w:lang w:bidi="hi-IN"/>
              </w:rPr>
              <w:t>,</w:t>
            </w:r>
            <w:r w:rsidRPr="00466B88">
              <w:rPr>
                <w:lang w:bidi="hi-IN"/>
              </w:rPr>
              <w:t xml:space="preserve"> and realizing value.</w:t>
            </w:r>
          </w:p>
        </w:tc>
      </w:tr>
      <w:tr w:rsidR="007942CC" w:rsidRPr="00466B88" w14:paraId="430D0DF3" w14:textId="77777777" w:rsidTr="00D1626C">
        <w:tc>
          <w:tcPr>
            <w:tcW w:w="1705" w:type="dxa"/>
            <w:shd w:val="clear" w:color="auto" w:fill="EAF1DD" w:themeFill="accent3" w:themeFillTint="33"/>
          </w:tcPr>
          <w:p w14:paraId="19752BAC" w14:textId="77777777" w:rsidR="007942CC" w:rsidRPr="00466B88" w:rsidRDefault="007942CC" w:rsidP="007942CC">
            <w:pPr>
              <w:pStyle w:val="Table"/>
              <w:rPr>
                <w:lang w:bidi="hi-IN"/>
              </w:rPr>
            </w:pPr>
            <w:r w:rsidRPr="00466B88">
              <w:rPr>
                <w:lang w:bidi="hi-IN"/>
              </w:rPr>
              <w:t>Impact</w:t>
            </w:r>
          </w:p>
        </w:tc>
        <w:tc>
          <w:tcPr>
            <w:tcW w:w="6930" w:type="dxa"/>
            <w:shd w:val="clear" w:color="auto" w:fill="EAF1DD" w:themeFill="accent3" w:themeFillTint="33"/>
          </w:tcPr>
          <w:p w14:paraId="3F19277F" w14:textId="77777777" w:rsidR="007942CC" w:rsidRPr="00466B88" w:rsidRDefault="007942CC" w:rsidP="007942CC">
            <w:pPr>
              <w:pStyle w:val="Table"/>
              <w:rPr>
                <w:lang w:bidi="hi-IN"/>
              </w:rPr>
            </w:pPr>
            <w:r w:rsidRPr="00466B88">
              <w:rPr>
                <w:lang w:bidi="hi-IN"/>
              </w:rPr>
              <w:t xml:space="preserve">The result or effect of an event. There may be a range of possible impacts associated with an event. The impact of an event may be positive (opportunities) or negative (risks) relative to the entity’s strategy or business objectives. </w:t>
            </w:r>
            <w:r w:rsidRPr="00466B88">
              <w:rPr>
                <w:rStyle w:val="FootnoteReference"/>
                <w:lang w:bidi="hi-IN"/>
              </w:rPr>
              <w:footnoteReference w:id="9"/>
            </w:r>
          </w:p>
        </w:tc>
      </w:tr>
      <w:tr w:rsidR="007942CC" w:rsidRPr="00466B88" w14:paraId="6C7FDF1E" w14:textId="77777777" w:rsidTr="00D1626C">
        <w:tc>
          <w:tcPr>
            <w:tcW w:w="1705" w:type="dxa"/>
            <w:shd w:val="clear" w:color="auto" w:fill="EAF1DD" w:themeFill="accent3" w:themeFillTint="33"/>
          </w:tcPr>
          <w:p w14:paraId="66DD02CF" w14:textId="77777777" w:rsidR="007942CC" w:rsidRPr="00466B88" w:rsidRDefault="007942CC" w:rsidP="007942CC">
            <w:pPr>
              <w:pStyle w:val="Table"/>
              <w:rPr>
                <w:lang w:bidi="hi-IN"/>
              </w:rPr>
            </w:pPr>
            <w:r w:rsidRPr="00466B88">
              <w:rPr>
                <w:lang w:bidi="hi-IN"/>
              </w:rPr>
              <w:t>Inherent Risk</w:t>
            </w:r>
          </w:p>
        </w:tc>
        <w:tc>
          <w:tcPr>
            <w:tcW w:w="6930" w:type="dxa"/>
            <w:shd w:val="clear" w:color="auto" w:fill="EAF1DD" w:themeFill="accent3" w:themeFillTint="33"/>
          </w:tcPr>
          <w:p w14:paraId="47C1AFBE" w14:textId="77777777" w:rsidR="007942CC" w:rsidRPr="00275C05" w:rsidRDefault="007942CC" w:rsidP="007942CC">
            <w:pPr>
              <w:pStyle w:val="Table"/>
              <w:rPr>
                <w:rFonts w:cstheme="majorHAnsi"/>
                <w:color w:val="000000" w:themeColor="text1"/>
                <w:lang w:bidi="hi-IN"/>
              </w:rPr>
            </w:pPr>
            <w:r w:rsidRPr="00275C05">
              <w:rPr>
                <w:rFonts w:cstheme="majorHAnsi"/>
                <w:color w:val="000000" w:themeColor="text1"/>
                <w:lang w:bidi="hi-IN"/>
              </w:rPr>
              <w:t xml:space="preserve">The risk to an </w:t>
            </w:r>
            <w:r w:rsidRPr="00275C05">
              <w:rPr>
                <w:rFonts w:cstheme="majorHAnsi"/>
                <w:color w:val="000000" w:themeColor="text1"/>
              </w:rPr>
              <w:t>entity in the absence of any direct or focused actions by management to alter its severity</w:t>
            </w:r>
            <w:r>
              <w:rPr>
                <w:rFonts w:cstheme="majorHAnsi"/>
                <w:color w:val="000000" w:themeColor="text1"/>
              </w:rPr>
              <w:t>.</w:t>
            </w:r>
          </w:p>
        </w:tc>
      </w:tr>
      <w:tr w:rsidR="007942CC" w:rsidRPr="00466B88" w14:paraId="08942EAC" w14:textId="77777777" w:rsidTr="00D1626C">
        <w:tc>
          <w:tcPr>
            <w:tcW w:w="1705" w:type="dxa"/>
            <w:shd w:val="clear" w:color="auto" w:fill="EAF1DD" w:themeFill="accent3" w:themeFillTint="33"/>
          </w:tcPr>
          <w:p w14:paraId="009F6C9A" w14:textId="77777777" w:rsidR="007942CC" w:rsidRPr="00466B88" w:rsidRDefault="007942CC" w:rsidP="007942CC">
            <w:pPr>
              <w:pStyle w:val="Table"/>
              <w:rPr>
                <w:rFonts w:ascii="Calibri" w:eastAsia="SimSun" w:hAnsi="Calibri" w:cs="Calibri"/>
                <w:kern w:val="3"/>
                <w:lang w:eastAsia="zh-CN" w:bidi="hi-IN"/>
              </w:rPr>
            </w:pPr>
            <w:r w:rsidRPr="00466B88">
              <w:rPr>
                <w:bCs/>
                <w:lang w:bidi="hi-IN"/>
              </w:rPr>
              <w:t>Likelihood</w:t>
            </w:r>
          </w:p>
        </w:tc>
        <w:tc>
          <w:tcPr>
            <w:tcW w:w="6930" w:type="dxa"/>
            <w:shd w:val="clear" w:color="auto" w:fill="EAF1DD" w:themeFill="accent3" w:themeFillTint="33"/>
          </w:tcPr>
          <w:p w14:paraId="7F15F63B" w14:textId="77777777" w:rsidR="007942CC" w:rsidRPr="00466B88" w:rsidRDefault="007942CC" w:rsidP="007942CC">
            <w:pPr>
              <w:pStyle w:val="Table"/>
              <w:rPr>
                <w:lang w:bidi="hi-IN"/>
              </w:rPr>
            </w:pPr>
            <w:r w:rsidRPr="00466B88">
              <w:rPr>
                <w:lang w:bidi="hi-IN"/>
              </w:rPr>
              <w:t xml:space="preserve">The possibility that a given event will occur. </w:t>
            </w:r>
          </w:p>
        </w:tc>
      </w:tr>
      <w:tr w:rsidR="007942CC" w:rsidRPr="00466B88" w14:paraId="47F53017" w14:textId="77777777" w:rsidTr="00D1626C">
        <w:tc>
          <w:tcPr>
            <w:tcW w:w="1705" w:type="dxa"/>
            <w:shd w:val="clear" w:color="auto" w:fill="EAF1DD" w:themeFill="accent3" w:themeFillTint="33"/>
          </w:tcPr>
          <w:p w14:paraId="37CF3774" w14:textId="77777777" w:rsidR="007942CC" w:rsidRPr="00466B88" w:rsidRDefault="007942CC" w:rsidP="007942CC">
            <w:pPr>
              <w:pStyle w:val="Table"/>
            </w:pPr>
            <w:r w:rsidRPr="00466B88">
              <w:rPr>
                <w:rFonts w:ascii="Calibri" w:eastAsia="SimSun" w:hAnsi="Calibri" w:cs="Calibri"/>
                <w:bCs/>
                <w:kern w:val="3"/>
                <w:lang w:eastAsia="zh-CN" w:bidi="hi-IN"/>
              </w:rPr>
              <w:t>Opportunity</w:t>
            </w:r>
          </w:p>
        </w:tc>
        <w:tc>
          <w:tcPr>
            <w:tcW w:w="6930" w:type="dxa"/>
            <w:shd w:val="clear" w:color="auto" w:fill="EAF1DD" w:themeFill="accent3" w:themeFillTint="33"/>
          </w:tcPr>
          <w:p w14:paraId="238F351C" w14:textId="77777777" w:rsidR="007942CC" w:rsidRPr="00466B88" w:rsidRDefault="007942CC"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An action or potential action that creates or alters goals or approaches for creating, preserving</w:t>
            </w:r>
            <w:r>
              <w:rPr>
                <w:rFonts w:ascii="Calibri" w:eastAsia="SimSun" w:hAnsi="Calibri" w:cs="Calibri"/>
                <w:kern w:val="3"/>
                <w:lang w:eastAsia="zh-CN" w:bidi="hi-IN"/>
              </w:rPr>
              <w:t>,</w:t>
            </w:r>
            <w:r w:rsidRPr="00466B88">
              <w:rPr>
                <w:rFonts w:ascii="Calibri" w:eastAsia="SimSun" w:hAnsi="Calibri" w:cs="Calibri"/>
                <w:kern w:val="3"/>
                <w:lang w:eastAsia="zh-CN" w:bidi="hi-IN"/>
              </w:rPr>
              <w:t xml:space="preserve"> and realizing value. </w:t>
            </w:r>
          </w:p>
        </w:tc>
      </w:tr>
      <w:tr w:rsidR="007942CC" w:rsidRPr="00466B88" w14:paraId="068A2665" w14:textId="77777777" w:rsidTr="00D1626C">
        <w:tc>
          <w:tcPr>
            <w:tcW w:w="1705" w:type="dxa"/>
            <w:shd w:val="clear" w:color="auto" w:fill="EAF1DD" w:themeFill="accent3" w:themeFillTint="33"/>
          </w:tcPr>
          <w:p w14:paraId="2442AFAF" w14:textId="77777777" w:rsidR="007942CC" w:rsidRPr="00466B88" w:rsidRDefault="007942CC" w:rsidP="007942CC">
            <w:pPr>
              <w:pStyle w:val="Table"/>
              <w:rPr>
                <w:rFonts w:ascii="Calibri" w:eastAsia="SimSun" w:hAnsi="Calibri" w:cs="Calibri"/>
                <w:bCs/>
                <w:kern w:val="3"/>
                <w:lang w:eastAsia="zh-CN" w:bidi="hi-IN"/>
              </w:rPr>
            </w:pPr>
            <w:r w:rsidRPr="00466B88">
              <w:rPr>
                <w:rFonts w:ascii="Calibri" w:eastAsia="SimSun" w:hAnsi="Calibri" w:cs="Calibri"/>
                <w:bCs/>
                <w:kern w:val="3"/>
                <w:lang w:eastAsia="zh-CN" w:bidi="hi-IN"/>
              </w:rPr>
              <w:t>Persistence</w:t>
            </w:r>
          </w:p>
        </w:tc>
        <w:tc>
          <w:tcPr>
            <w:tcW w:w="6930" w:type="dxa"/>
            <w:shd w:val="clear" w:color="auto" w:fill="EAF1DD" w:themeFill="accent3" w:themeFillTint="33"/>
          </w:tcPr>
          <w:p w14:paraId="2D5A916F" w14:textId="77777777" w:rsidR="007942CC" w:rsidRPr="00466B88" w:rsidRDefault="007942CC"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How long a risk impacts a</w:t>
            </w:r>
            <w:r>
              <w:rPr>
                <w:rFonts w:ascii="Calibri" w:eastAsia="SimSun" w:hAnsi="Calibri" w:cs="Calibri"/>
                <w:kern w:val="3"/>
                <w:lang w:eastAsia="zh-CN" w:bidi="hi-IN"/>
              </w:rPr>
              <w:t>n</w:t>
            </w:r>
            <w:r w:rsidRPr="00466B88">
              <w:rPr>
                <w:rFonts w:ascii="Calibri" w:eastAsia="SimSun" w:hAnsi="Calibri" w:cs="Calibri"/>
                <w:kern w:val="3"/>
                <w:lang w:eastAsia="zh-CN" w:bidi="hi-IN"/>
              </w:rPr>
              <w:t xml:space="preserve"> entity</w:t>
            </w:r>
            <w:r>
              <w:rPr>
                <w:rFonts w:ascii="Calibri" w:eastAsia="SimSun" w:hAnsi="Calibri" w:cs="Calibri"/>
                <w:kern w:val="3"/>
                <w:lang w:eastAsia="zh-CN" w:bidi="hi-IN"/>
              </w:rPr>
              <w:t>.</w:t>
            </w:r>
          </w:p>
        </w:tc>
      </w:tr>
      <w:tr w:rsidR="007942CC" w:rsidRPr="00466B88" w14:paraId="529F41EB" w14:textId="77777777" w:rsidTr="00D1626C">
        <w:tc>
          <w:tcPr>
            <w:tcW w:w="1705" w:type="dxa"/>
            <w:shd w:val="clear" w:color="auto" w:fill="EAF1DD" w:themeFill="accent3" w:themeFillTint="33"/>
          </w:tcPr>
          <w:p w14:paraId="7CEFA6B6" w14:textId="77777777" w:rsidR="007942CC" w:rsidRPr="00466B88" w:rsidRDefault="007942CC" w:rsidP="007942CC">
            <w:pPr>
              <w:pStyle w:val="Table"/>
              <w:rPr>
                <w:rFonts w:ascii="Calibri" w:eastAsia="SimSun" w:hAnsi="Calibri" w:cs="Calibri"/>
                <w:bCs/>
                <w:kern w:val="3"/>
                <w:lang w:eastAsia="zh-CN" w:bidi="hi-IN"/>
              </w:rPr>
            </w:pPr>
            <w:r w:rsidRPr="00466B88">
              <w:rPr>
                <w:rFonts w:ascii="Calibri" w:eastAsia="SimSun" w:hAnsi="Calibri" w:cs="Calibri"/>
                <w:bCs/>
                <w:kern w:val="3"/>
                <w:lang w:eastAsia="zh-CN" w:bidi="hi-IN"/>
              </w:rPr>
              <w:t>Portfolio View</w:t>
            </w:r>
          </w:p>
        </w:tc>
        <w:tc>
          <w:tcPr>
            <w:tcW w:w="6930" w:type="dxa"/>
            <w:shd w:val="clear" w:color="auto" w:fill="EAF1DD" w:themeFill="accent3" w:themeFillTint="33"/>
          </w:tcPr>
          <w:p w14:paraId="10DB92E6" w14:textId="77777777" w:rsidR="007942CC" w:rsidRPr="00466B88" w:rsidRDefault="007942CC"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A composite view of risk the entity faces, which positions management and the board to consider the types, severity</w:t>
            </w:r>
            <w:r>
              <w:rPr>
                <w:rFonts w:ascii="Calibri" w:eastAsia="SimSun" w:hAnsi="Calibri" w:cs="Calibri"/>
                <w:kern w:val="3"/>
                <w:lang w:eastAsia="zh-CN" w:bidi="hi-IN"/>
              </w:rPr>
              <w:t>,</w:t>
            </w:r>
            <w:r w:rsidRPr="00466B88">
              <w:rPr>
                <w:rFonts w:ascii="Calibri" w:eastAsia="SimSun" w:hAnsi="Calibri" w:cs="Calibri"/>
                <w:kern w:val="3"/>
                <w:lang w:eastAsia="zh-CN" w:bidi="hi-IN"/>
              </w:rPr>
              <w:t xml:space="preserve"> and interdependencies of risks and how they may affect the entity’s performance relative to its strategy and business objectives.</w:t>
            </w:r>
          </w:p>
        </w:tc>
      </w:tr>
      <w:tr w:rsidR="007942CC" w:rsidRPr="00466B88" w14:paraId="219567A2" w14:textId="77777777" w:rsidTr="00D1626C">
        <w:tc>
          <w:tcPr>
            <w:tcW w:w="1705" w:type="dxa"/>
            <w:shd w:val="clear" w:color="auto" w:fill="EAF1DD" w:themeFill="accent3" w:themeFillTint="33"/>
          </w:tcPr>
          <w:p w14:paraId="42B0AF56" w14:textId="77777777" w:rsidR="007942CC" w:rsidRPr="00466B88" w:rsidRDefault="007942CC"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Recovery</w:t>
            </w:r>
          </w:p>
        </w:tc>
        <w:tc>
          <w:tcPr>
            <w:tcW w:w="6930" w:type="dxa"/>
            <w:shd w:val="clear" w:color="auto" w:fill="EAF1DD" w:themeFill="accent3" w:themeFillTint="33"/>
          </w:tcPr>
          <w:p w14:paraId="0F433D5A" w14:textId="77777777" w:rsidR="007942CC" w:rsidRPr="00457B7C" w:rsidRDefault="007942CC" w:rsidP="007942CC">
            <w:pPr>
              <w:pStyle w:val="Table"/>
              <w:rPr>
                <w:rFonts w:eastAsia="SimSun" w:cstheme="majorHAnsi"/>
                <w:color w:val="000000" w:themeColor="text1"/>
                <w:kern w:val="3"/>
                <w:lang w:eastAsia="zh-CN" w:bidi="hi-IN"/>
              </w:rPr>
            </w:pPr>
            <w:r w:rsidRPr="00457B7C">
              <w:rPr>
                <w:rFonts w:cstheme="majorHAnsi"/>
                <w:color w:val="000000" w:themeColor="text1"/>
              </w:rPr>
              <w:t xml:space="preserve">The capacity of an entity to return to acceptable tolerance levels after the impact of a risk.  </w:t>
            </w:r>
          </w:p>
        </w:tc>
      </w:tr>
      <w:tr w:rsidR="007942CC" w:rsidRPr="00466B88" w14:paraId="378ED0BE" w14:textId="77777777" w:rsidTr="00D1626C">
        <w:tc>
          <w:tcPr>
            <w:tcW w:w="1705" w:type="dxa"/>
            <w:shd w:val="clear" w:color="auto" w:fill="EAF1DD" w:themeFill="accent3" w:themeFillTint="33"/>
          </w:tcPr>
          <w:p w14:paraId="7BB585B1" w14:textId="77777777" w:rsidR="007942CC" w:rsidRPr="00466B88" w:rsidRDefault="007942CC"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Residual Risk</w:t>
            </w:r>
          </w:p>
        </w:tc>
        <w:tc>
          <w:tcPr>
            <w:tcW w:w="6930" w:type="dxa"/>
            <w:shd w:val="clear" w:color="auto" w:fill="EAF1DD" w:themeFill="accent3" w:themeFillTint="33"/>
          </w:tcPr>
          <w:p w14:paraId="7DD6E151" w14:textId="77777777" w:rsidR="007942CC" w:rsidRPr="00457B7C" w:rsidRDefault="007942CC" w:rsidP="007942CC">
            <w:pPr>
              <w:pStyle w:val="Table"/>
              <w:rPr>
                <w:rFonts w:cstheme="majorHAnsi"/>
                <w:color w:val="000000" w:themeColor="text1"/>
              </w:rPr>
            </w:pPr>
            <w:r w:rsidRPr="00457B7C">
              <w:rPr>
                <w:rFonts w:cstheme="majorHAnsi"/>
                <w:color w:val="000000" w:themeColor="text1"/>
              </w:rPr>
              <w:t>The level of risk remaining after the application of control activities</w:t>
            </w:r>
            <w:r>
              <w:rPr>
                <w:rFonts w:cstheme="majorHAnsi"/>
                <w:color w:val="000000" w:themeColor="text1"/>
              </w:rPr>
              <w:t>.</w:t>
            </w:r>
            <w:r w:rsidRPr="00457B7C">
              <w:rPr>
                <w:rFonts w:cstheme="majorHAnsi"/>
                <w:color w:val="000000" w:themeColor="text1"/>
              </w:rPr>
              <w:t xml:space="preserve"> </w:t>
            </w:r>
          </w:p>
        </w:tc>
      </w:tr>
      <w:tr w:rsidR="007942CC" w:rsidRPr="00466B88" w14:paraId="6F3C65CC" w14:textId="77777777" w:rsidTr="00D1626C">
        <w:tc>
          <w:tcPr>
            <w:tcW w:w="1705" w:type="dxa"/>
            <w:shd w:val="clear" w:color="auto" w:fill="EAF1DD" w:themeFill="accent3" w:themeFillTint="33"/>
          </w:tcPr>
          <w:p w14:paraId="7CEAEDA6" w14:textId="77777777" w:rsidR="007942CC" w:rsidRPr="00466B88" w:rsidRDefault="007942CC" w:rsidP="007942CC">
            <w:pPr>
              <w:pStyle w:val="Table"/>
            </w:pPr>
            <w:r w:rsidRPr="00466B88">
              <w:rPr>
                <w:rFonts w:ascii="Calibri" w:eastAsia="SimSun" w:hAnsi="Calibri" w:cs="Calibri"/>
                <w:kern w:val="3"/>
                <w:lang w:eastAsia="zh-CN" w:bidi="hi-IN"/>
              </w:rPr>
              <w:t>Risk</w:t>
            </w:r>
          </w:p>
        </w:tc>
        <w:tc>
          <w:tcPr>
            <w:tcW w:w="6930" w:type="dxa"/>
            <w:shd w:val="clear" w:color="auto" w:fill="EAF1DD" w:themeFill="accent3" w:themeFillTint="33"/>
          </w:tcPr>
          <w:p w14:paraId="5BABF755" w14:textId="77777777" w:rsidR="007942CC" w:rsidRPr="00466B88" w:rsidRDefault="007942CC" w:rsidP="007942CC">
            <w:pPr>
              <w:pStyle w:val="Table"/>
            </w:pPr>
            <w:r w:rsidRPr="00466B88">
              <w:rPr>
                <w:rFonts w:ascii="Calibri" w:eastAsia="SimSun" w:hAnsi="Calibri" w:cs="Calibri"/>
                <w:kern w:val="3"/>
                <w:lang w:eastAsia="zh-CN" w:bidi="hi-IN"/>
              </w:rPr>
              <w:t>The possibility of an event occurring that will have an impact on the achievement of objectives. NOTE: “Risks” (plural) refers to one or more potential events that may affect the achievement of objectives. “Risk” (singular) refers to all potential events collectively that may affect the achievement of objectives.</w:t>
            </w:r>
          </w:p>
        </w:tc>
      </w:tr>
      <w:tr w:rsidR="007942CC" w:rsidRPr="00466B88" w14:paraId="10C44A5B" w14:textId="77777777" w:rsidTr="00D1626C">
        <w:tc>
          <w:tcPr>
            <w:tcW w:w="1705" w:type="dxa"/>
            <w:shd w:val="clear" w:color="auto" w:fill="EAF1DD" w:themeFill="accent3" w:themeFillTint="33"/>
          </w:tcPr>
          <w:p w14:paraId="7B1A2EDA" w14:textId="77777777" w:rsidR="007942CC" w:rsidRPr="00466B88" w:rsidRDefault="007942CC" w:rsidP="007942CC">
            <w:pPr>
              <w:pStyle w:val="Table"/>
            </w:pPr>
            <w:r w:rsidRPr="00466B88">
              <w:rPr>
                <w:rFonts w:ascii="Calibri" w:eastAsia="SimSun" w:hAnsi="Calibri" w:cs="Calibri"/>
                <w:kern w:val="3"/>
                <w:lang w:eastAsia="zh-CN" w:bidi="hi-IN"/>
              </w:rPr>
              <w:t>Risk Appetite</w:t>
            </w:r>
          </w:p>
        </w:tc>
        <w:tc>
          <w:tcPr>
            <w:tcW w:w="6930" w:type="dxa"/>
            <w:shd w:val="clear" w:color="auto" w:fill="EAF1DD" w:themeFill="accent3" w:themeFillTint="33"/>
          </w:tcPr>
          <w:p w14:paraId="36846931" w14:textId="77777777" w:rsidR="007942CC" w:rsidRPr="00466B88" w:rsidRDefault="007942CC" w:rsidP="007942CC">
            <w:pPr>
              <w:pStyle w:val="Table"/>
            </w:pPr>
            <w:r w:rsidRPr="00466B88">
              <w:rPr>
                <w:rFonts w:ascii="Calibri" w:eastAsia="SimSun" w:hAnsi="Calibri" w:cs="Calibri"/>
                <w:kern w:val="3"/>
                <w:lang w:eastAsia="zh-CN" w:bidi="hi-IN"/>
              </w:rPr>
              <w:t>The types and amount of risk, on a broad level, an organization is willing to accept in pursuit of added value.</w:t>
            </w:r>
          </w:p>
        </w:tc>
      </w:tr>
      <w:tr w:rsidR="007942CC" w:rsidRPr="00466B88" w14:paraId="09FBAB8E" w14:textId="77777777" w:rsidTr="00D1626C">
        <w:tc>
          <w:tcPr>
            <w:tcW w:w="1705" w:type="dxa"/>
            <w:shd w:val="clear" w:color="auto" w:fill="EAF1DD" w:themeFill="accent3" w:themeFillTint="33"/>
          </w:tcPr>
          <w:p w14:paraId="55653875" w14:textId="77777777" w:rsidR="007942CC" w:rsidRPr="00466B88" w:rsidRDefault="007942CC"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Risk Capacity</w:t>
            </w:r>
          </w:p>
        </w:tc>
        <w:tc>
          <w:tcPr>
            <w:tcW w:w="6930" w:type="dxa"/>
            <w:shd w:val="clear" w:color="auto" w:fill="EAF1DD" w:themeFill="accent3" w:themeFillTint="33"/>
          </w:tcPr>
          <w:p w14:paraId="2733D193" w14:textId="77777777" w:rsidR="007942CC" w:rsidRPr="00466B88" w:rsidRDefault="007942CC"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The maximum amount of risk that an entity is able to absorb in the pursuit of strategy and business objectives.</w:t>
            </w:r>
          </w:p>
        </w:tc>
      </w:tr>
      <w:tr w:rsidR="007942CC" w:rsidRPr="00466B88" w14:paraId="2F4DA4EE" w14:textId="77777777" w:rsidTr="00D1626C">
        <w:tc>
          <w:tcPr>
            <w:tcW w:w="1705" w:type="dxa"/>
            <w:shd w:val="clear" w:color="auto" w:fill="EAF1DD" w:themeFill="accent3" w:themeFillTint="33"/>
          </w:tcPr>
          <w:p w14:paraId="16F10E13" w14:textId="77777777" w:rsidR="007942CC" w:rsidRPr="00466B88" w:rsidRDefault="007942CC" w:rsidP="007942CC">
            <w:pPr>
              <w:pStyle w:val="Table"/>
            </w:pPr>
            <w:r w:rsidRPr="00466B88">
              <w:rPr>
                <w:rFonts w:ascii="Calibri" w:eastAsia="SimSun" w:hAnsi="Calibri" w:cs="Calibri"/>
                <w:kern w:val="3"/>
                <w:lang w:eastAsia="zh-CN" w:bidi="hi-IN"/>
              </w:rPr>
              <w:t>Risk Management</w:t>
            </w:r>
          </w:p>
        </w:tc>
        <w:tc>
          <w:tcPr>
            <w:tcW w:w="6930" w:type="dxa"/>
            <w:shd w:val="clear" w:color="auto" w:fill="EAF1DD" w:themeFill="accent3" w:themeFillTint="33"/>
          </w:tcPr>
          <w:p w14:paraId="38B5BE2D" w14:textId="77777777" w:rsidR="007942CC" w:rsidRPr="00466B88" w:rsidRDefault="007942CC" w:rsidP="007942CC">
            <w:pPr>
              <w:pStyle w:val="Table"/>
            </w:pPr>
            <w:r w:rsidRPr="00466B88">
              <w:rPr>
                <w:rFonts w:ascii="Calibri" w:eastAsia="SimSun" w:hAnsi="Calibri" w:cs="Calibri"/>
                <w:kern w:val="3"/>
                <w:lang w:eastAsia="zh-CN" w:bidi="hi-IN"/>
              </w:rPr>
              <w:t xml:space="preserve">A process to identify, assess, manage, and control potential events or situations to provide reasonable assurance regarding the achievement of the organization’s objectives. </w:t>
            </w:r>
          </w:p>
        </w:tc>
      </w:tr>
      <w:tr w:rsidR="007942CC" w:rsidRPr="00466B88" w14:paraId="30AB04CA" w14:textId="77777777" w:rsidTr="00D1626C">
        <w:tc>
          <w:tcPr>
            <w:tcW w:w="1705" w:type="dxa"/>
            <w:shd w:val="clear" w:color="auto" w:fill="EAF1DD" w:themeFill="accent3" w:themeFillTint="33"/>
          </w:tcPr>
          <w:p w14:paraId="50BD1D78" w14:textId="77777777" w:rsidR="007942CC" w:rsidRPr="00466B88" w:rsidRDefault="007942CC"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lastRenderedPageBreak/>
              <w:t xml:space="preserve">Risk Profile </w:t>
            </w:r>
          </w:p>
        </w:tc>
        <w:tc>
          <w:tcPr>
            <w:tcW w:w="6930" w:type="dxa"/>
            <w:shd w:val="clear" w:color="auto" w:fill="EAF1DD" w:themeFill="accent3" w:themeFillTint="33"/>
          </w:tcPr>
          <w:p w14:paraId="02206ABA" w14:textId="77777777" w:rsidR="007942CC" w:rsidRPr="00466B88" w:rsidRDefault="007942CC"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A composite view of the risk assumed at a particular level of the entity, or aspect of the business that positions management to consider the types, severity</w:t>
            </w:r>
            <w:r>
              <w:rPr>
                <w:rFonts w:ascii="Calibri" w:eastAsia="SimSun" w:hAnsi="Calibri" w:cs="Calibri"/>
                <w:kern w:val="3"/>
                <w:lang w:eastAsia="zh-CN" w:bidi="hi-IN"/>
              </w:rPr>
              <w:t>,</w:t>
            </w:r>
            <w:r w:rsidRPr="00466B88">
              <w:rPr>
                <w:rFonts w:ascii="Calibri" w:eastAsia="SimSun" w:hAnsi="Calibri" w:cs="Calibri"/>
                <w:kern w:val="3"/>
                <w:lang w:eastAsia="zh-CN" w:bidi="hi-IN"/>
              </w:rPr>
              <w:t xml:space="preserve"> and interdependencies</w:t>
            </w:r>
            <w:r>
              <w:rPr>
                <w:rFonts w:ascii="Calibri" w:eastAsia="SimSun" w:hAnsi="Calibri" w:cs="Calibri"/>
                <w:kern w:val="3"/>
                <w:lang w:eastAsia="zh-CN" w:bidi="hi-IN"/>
              </w:rPr>
              <w:t>.</w:t>
            </w:r>
          </w:p>
        </w:tc>
      </w:tr>
      <w:tr w:rsidR="007942CC" w:rsidRPr="00466B88" w14:paraId="129C8122" w14:textId="77777777" w:rsidTr="00D1626C">
        <w:tc>
          <w:tcPr>
            <w:tcW w:w="1705" w:type="dxa"/>
            <w:shd w:val="clear" w:color="auto" w:fill="EAF1DD" w:themeFill="accent3" w:themeFillTint="33"/>
          </w:tcPr>
          <w:p w14:paraId="2BE37B19" w14:textId="77777777" w:rsidR="007942CC" w:rsidRPr="00466B88" w:rsidRDefault="007942CC"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Risk Register</w:t>
            </w:r>
          </w:p>
        </w:tc>
        <w:tc>
          <w:tcPr>
            <w:tcW w:w="6930" w:type="dxa"/>
            <w:shd w:val="clear" w:color="auto" w:fill="EAF1DD" w:themeFill="accent3" w:themeFillTint="33"/>
          </w:tcPr>
          <w:p w14:paraId="50F64406" w14:textId="77777777" w:rsidR="007942CC" w:rsidRPr="00466B88" w:rsidRDefault="007942CC"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 xml:space="preserve">A listing of all risks that impact an entity which may include proposed risks responses. </w:t>
            </w:r>
          </w:p>
        </w:tc>
      </w:tr>
      <w:tr w:rsidR="007942CC" w:rsidRPr="00466B88" w14:paraId="0B293B2F" w14:textId="77777777" w:rsidTr="00D1626C">
        <w:tc>
          <w:tcPr>
            <w:tcW w:w="1705" w:type="dxa"/>
            <w:shd w:val="clear" w:color="auto" w:fill="EAF1DD" w:themeFill="accent3" w:themeFillTint="33"/>
          </w:tcPr>
          <w:p w14:paraId="1912BEDC" w14:textId="77777777" w:rsidR="007942CC" w:rsidRPr="00466B88" w:rsidRDefault="007942CC"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Risk Tolerance</w:t>
            </w:r>
          </w:p>
        </w:tc>
        <w:tc>
          <w:tcPr>
            <w:tcW w:w="6930" w:type="dxa"/>
            <w:shd w:val="clear" w:color="auto" w:fill="EAF1DD" w:themeFill="accent3" w:themeFillTint="33"/>
          </w:tcPr>
          <w:p w14:paraId="7F30B8AA" w14:textId="77777777" w:rsidR="007942CC" w:rsidRPr="00466B88" w:rsidRDefault="007942CC"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The boundaries of acceptable variation in performance related to achieving business objectives.</w:t>
            </w:r>
          </w:p>
        </w:tc>
      </w:tr>
      <w:tr w:rsidR="007942CC" w:rsidRPr="00466B88" w14:paraId="6F6D31A7" w14:textId="77777777" w:rsidTr="00D1626C">
        <w:tc>
          <w:tcPr>
            <w:tcW w:w="1705" w:type="dxa"/>
            <w:shd w:val="clear" w:color="auto" w:fill="EAF1DD" w:themeFill="accent3" w:themeFillTint="33"/>
          </w:tcPr>
          <w:p w14:paraId="47D0436E" w14:textId="77777777" w:rsidR="007942CC" w:rsidRPr="00466B88" w:rsidRDefault="007942CC"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Severity</w:t>
            </w:r>
          </w:p>
        </w:tc>
        <w:tc>
          <w:tcPr>
            <w:tcW w:w="6930" w:type="dxa"/>
            <w:shd w:val="clear" w:color="auto" w:fill="EAF1DD" w:themeFill="accent3" w:themeFillTint="33"/>
          </w:tcPr>
          <w:p w14:paraId="1BB7A622" w14:textId="77777777" w:rsidR="007942CC" w:rsidRPr="00466B88" w:rsidRDefault="007942CC"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A measurement of considerations such as the likelihood and impact of events or the time it takes to recover from events.</w:t>
            </w:r>
          </w:p>
        </w:tc>
      </w:tr>
      <w:tr w:rsidR="007942CC" w:rsidRPr="00466B88" w14:paraId="1203FD39" w14:textId="77777777" w:rsidTr="00D1626C">
        <w:tc>
          <w:tcPr>
            <w:tcW w:w="1705" w:type="dxa"/>
            <w:shd w:val="clear" w:color="auto" w:fill="EAF1DD" w:themeFill="accent3" w:themeFillTint="33"/>
          </w:tcPr>
          <w:p w14:paraId="4B16C290" w14:textId="77777777" w:rsidR="007942CC" w:rsidRPr="00466B88" w:rsidRDefault="007942CC"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Speed of Onset or Velocity</w:t>
            </w:r>
          </w:p>
        </w:tc>
        <w:tc>
          <w:tcPr>
            <w:tcW w:w="6930" w:type="dxa"/>
            <w:shd w:val="clear" w:color="auto" w:fill="EAF1DD" w:themeFill="accent3" w:themeFillTint="33"/>
          </w:tcPr>
          <w:p w14:paraId="4332E18F" w14:textId="77777777" w:rsidR="007942CC" w:rsidRPr="00466B88" w:rsidRDefault="007942CC"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The time it takes for a risk event to manifest itself or the time that elapses between the occurrence of an event and the point at which the organization first feels its effects.</w:t>
            </w:r>
          </w:p>
        </w:tc>
      </w:tr>
      <w:tr w:rsidR="007942CC" w:rsidRPr="000573FF" w14:paraId="71617F10" w14:textId="77777777" w:rsidTr="00D1626C">
        <w:tc>
          <w:tcPr>
            <w:tcW w:w="1705" w:type="dxa"/>
            <w:shd w:val="clear" w:color="auto" w:fill="EAF1DD" w:themeFill="accent3" w:themeFillTint="33"/>
          </w:tcPr>
          <w:p w14:paraId="3E16381E" w14:textId="77777777" w:rsidR="007942CC" w:rsidRPr="00956539" w:rsidRDefault="007942CC" w:rsidP="007942CC">
            <w:pPr>
              <w:pStyle w:val="Table"/>
              <w:rPr>
                <w:rFonts w:eastAsia="SimSun" w:cstheme="majorHAnsi"/>
                <w:color w:val="000000" w:themeColor="text1"/>
                <w:kern w:val="3"/>
                <w:lang w:eastAsia="zh-CN" w:bidi="hi-IN"/>
              </w:rPr>
            </w:pPr>
            <w:r w:rsidRPr="00956539">
              <w:rPr>
                <w:rFonts w:cstheme="majorHAnsi"/>
                <w:bCs/>
                <w:color w:val="000000" w:themeColor="text1"/>
              </w:rPr>
              <w:t>Target residual risk</w:t>
            </w:r>
          </w:p>
        </w:tc>
        <w:tc>
          <w:tcPr>
            <w:tcW w:w="6930" w:type="dxa"/>
            <w:shd w:val="clear" w:color="auto" w:fill="EAF1DD" w:themeFill="accent3" w:themeFillTint="33"/>
          </w:tcPr>
          <w:p w14:paraId="7573AA84" w14:textId="77777777" w:rsidR="007942CC" w:rsidRPr="00956539" w:rsidRDefault="007942CC" w:rsidP="007942CC">
            <w:pPr>
              <w:pStyle w:val="Table"/>
              <w:rPr>
                <w:rFonts w:cstheme="majorHAnsi"/>
                <w:color w:val="000000" w:themeColor="text1"/>
              </w:rPr>
            </w:pPr>
            <w:r w:rsidRPr="00956539">
              <w:rPr>
                <w:rFonts w:cstheme="majorHAnsi"/>
                <w:color w:val="000000" w:themeColor="text1"/>
              </w:rPr>
              <w:t xml:space="preserve">The amount of risk that an entity prefers to assume in the pursuit of its strategy and business objectives, knowing that management will implement, or has implemented, direct or focused actions to alter the severity of the risk. </w:t>
            </w:r>
          </w:p>
        </w:tc>
      </w:tr>
    </w:tbl>
    <w:p w14:paraId="4454856B" w14:textId="77777777" w:rsidR="007942CC" w:rsidRDefault="007942CC" w:rsidP="00DF57E2">
      <w:pPr>
        <w:pStyle w:val="ListParagraph"/>
      </w:pPr>
    </w:p>
    <w:p w14:paraId="798F3668" w14:textId="77777777" w:rsidR="007942CC" w:rsidRDefault="007942CC">
      <w:pPr>
        <w:spacing w:after="200"/>
        <w:rPr>
          <w:rFonts w:ascii="Calibri" w:eastAsia="SimSun" w:hAnsi="Calibri" w:cs="Calibri"/>
          <w:kern w:val="3"/>
          <w:lang w:eastAsia="zh-CN" w:bidi="hi-IN"/>
        </w:rPr>
      </w:pPr>
      <w:r>
        <w:br w:type="page"/>
      </w:r>
    </w:p>
    <w:p w14:paraId="06271A23" w14:textId="5BEF3B26" w:rsidR="007942CC" w:rsidRDefault="003E7B6E" w:rsidP="003E7B6E">
      <w:pPr>
        <w:pStyle w:val="Heading1"/>
        <w:jc w:val="center"/>
      </w:pPr>
      <w:proofErr w:type="gramStart"/>
      <w:r>
        <w:lastRenderedPageBreak/>
        <w:t>S</w:t>
      </w:r>
      <w:r w:rsidR="007942CC">
        <w:t>ection  B</w:t>
      </w:r>
      <w:proofErr w:type="gramEnd"/>
      <w:r w:rsidR="0017200B">
        <w:t>3</w:t>
      </w:r>
      <w:r w:rsidR="007942CC">
        <w:t xml:space="preserve"> Terms </w:t>
      </w:r>
      <w:r>
        <w:t xml:space="preserve">that relate </w:t>
      </w:r>
      <w:r w:rsidR="007942CC">
        <w:t>to coso internal control</w:t>
      </w:r>
    </w:p>
    <w:p w14:paraId="252268FD" w14:textId="77777777" w:rsidR="00AC6457" w:rsidRPr="00AC6457" w:rsidRDefault="00AC6457" w:rsidP="00AC6457">
      <w:pPr>
        <w:rPr>
          <w:lang w:eastAsia="ja-JP"/>
        </w:rPr>
      </w:pPr>
    </w:p>
    <w:tbl>
      <w:tblPr>
        <w:tblStyle w:val="TableGrid"/>
        <w:tblW w:w="8635" w:type="dxa"/>
        <w:tblLook w:val="04A0" w:firstRow="1" w:lastRow="0" w:firstColumn="1" w:lastColumn="0" w:noHBand="0" w:noVBand="1"/>
      </w:tblPr>
      <w:tblGrid>
        <w:gridCol w:w="1705"/>
        <w:gridCol w:w="6930"/>
      </w:tblGrid>
      <w:tr w:rsidR="007942CC" w:rsidRPr="00466B88" w14:paraId="21968589" w14:textId="77777777" w:rsidTr="00D1626C">
        <w:trPr>
          <w:tblHeader/>
        </w:trPr>
        <w:tc>
          <w:tcPr>
            <w:tcW w:w="1705" w:type="dxa"/>
            <w:shd w:val="clear" w:color="auto" w:fill="DAEEF3" w:themeFill="accent5" w:themeFillTint="33"/>
          </w:tcPr>
          <w:p w14:paraId="34227532" w14:textId="77777777" w:rsidR="007942CC" w:rsidRPr="00466B88" w:rsidRDefault="007942CC" w:rsidP="007942CC">
            <w:pPr>
              <w:pStyle w:val="Table"/>
              <w:jc w:val="center"/>
              <w:rPr>
                <w:b/>
                <w:sz w:val="24"/>
                <w:szCs w:val="24"/>
              </w:rPr>
            </w:pPr>
            <w:r w:rsidRPr="00466B88">
              <w:rPr>
                <w:b/>
                <w:sz w:val="24"/>
                <w:szCs w:val="24"/>
              </w:rPr>
              <w:t>Terminology</w:t>
            </w:r>
          </w:p>
        </w:tc>
        <w:tc>
          <w:tcPr>
            <w:tcW w:w="6930" w:type="dxa"/>
            <w:shd w:val="clear" w:color="auto" w:fill="DAEEF3" w:themeFill="accent5" w:themeFillTint="33"/>
          </w:tcPr>
          <w:p w14:paraId="28F6DD5A" w14:textId="77777777" w:rsidR="007942CC" w:rsidRPr="00466B88" w:rsidRDefault="007942CC" w:rsidP="007942CC">
            <w:pPr>
              <w:pStyle w:val="Table"/>
              <w:jc w:val="center"/>
              <w:rPr>
                <w:b/>
                <w:sz w:val="24"/>
                <w:szCs w:val="24"/>
              </w:rPr>
            </w:pPr>
            <w:r w:rsidRPr="00466B88">
              <w:rPr>
                <w:b/>
                <w:sz w:val="24"/>
                <w:szCs w:val="24"/>
              </w:rPr>
              <w:t>Definition</w:t>
            </w:r>
          </w:p>
        </w:tc>
      </w:tr>
      <w:tr w:rsidR="007942CC" w:rsidRPr="00466B88" w14:paraId="1C3BAAEB" w14:textId="77777777" w:rsidTr="00D1626C">
        <w:tc>
          <w:tcPr>
            <w:tcW w:w="1705" w:type="dxa"/>
            <w:shd w:val="clear" w:color="auto" w:fill="DAEEF3" w:themeFill="accent5" w:themeFillTint="33"/>
          </w:tcPr>
          <w:p w14:paraId="268DA952" w14:textId="77777777" w:rsidR="007942CC" w:rsidRPr="00466B88" w:rsidRDefault="007942CC" w:rsidP="007942CC">
            <w:pPr>
              <w:pStyle w:val="Table"/>
            </w:pPr>
            <w:r w:rsidRPr="00466B88">
              <w:rPr>
                <w:lang w:bidi="hi-IN"/>
              </w:rPr>
              <w:t>Control</w:t>
            </w:r>
          </w:p>
        </w:tc>
        <w:tc>
          <w:tcPr>
            <w:tcW w:w="6930" w:type="dxa"/>
            <w:shd w:val="clear" w:color="auto" w:fill="DAEEF3" w:themeFill="accent5" w:themeFillTint="33"/>
          </w:tcPr>
          <w:p w14:paraId="23A56C62" w14:textId="77777777" w:rsidR="007942CC" w:rsidRPr="00466B88" w:rsidRDefault="007942CC" w:rsidP="007942CC">
            <w:pPr>
              <w:pStyle w:val="Table"/>
            </w:pPr>
            <w:r w:rsidRPr="00466B88">
              <w:rPr>
                <w:lang w:bidi="hi-IN"/>
              </w:rPr>
              <w:t xml:space="preserve">Any action taken by management, the board, and other parties to manage risk and increase the likelihood that established objectives and goals will be achieved. Management plans, organizes, and directs the performance of sufficient actions to provide reasonable assurance that objectives and goals will be achieved. </w:t>
            </w:r>
          </w:p>
        </w:tc>
      </w:tr>
      <w:tr w:rsidR="007942CC" w:rsidRPr="00466B88" w14:paraId="0DC72655" w14:textId="77777777" w:rsidTr="00D1626C">
        <w:tc>
          <w:tcPr>
            <w:tcW w:w="1705" w:type="dxa"/>
            <w:shd w:val="clear" w:color="auto" w:fill="DAEEF3" w:themeFill="accent5" w:themeFillTint="33"/>
          </w:tcPr>
          <w:p w14:paraId="3818BF81" w14:textId="77777777" w:rsidR="007942CC" w:rsidRPr="00466B88" w:rsidRDefault="007942CC" w:rsidP="007942CC">
            <w:pPr>
              <w:pStyle w:val="Table"/>
              <w:rPr>
                <w:lang w:bidi="hi-IN"/>
              </w:rPr>
            </w:pPr>
            <w:r w:rsidRPr="00466B88">
              <w:rPr>
                <w:lang w:bidi="hi-IN"/>
              </w:rPr>
              <w:t>Control Activities</w:t>
            </w:r>
          </w:p>
        </w:tc>
        <w:tc>
          <w:tcPr>
            <w:tcW w:w="6930" w:type="dxa"/>
            <w:shd w:val="clear" w:color="auto" w:fill="DAEEF3" w:themeFill="accent5" w:themeFillTint="33"/>
          </w:tcPr>
          <w:p w14:paraId="2877924E" w14:textId="77777777" w:rsidR="007942CC" w:rsidRPr="0070214A" w:rsidRDefault="007942CC" w:rsidP="007942CC">
            <w:pPr>
              <w:pStyle w:val="Table"/>
              <w:rPr>
                <w:b/>
                <w:bCs/>
                <w:lang w:bidi="hi-IN"/>
              </w:rPr>
            </w:pPr>
            <w:r w:rsidRPr="0070214A">
              <w:rPr>
                <w:b/>
                <w:bCs/>
                <w:lang w:bidi="hi-IN"/>
              </w:rPr>
              <w:t>One of the five components of the COSO Internal Control Integrated Framework.</w:t>
            </w:r>
          </w:p>
          <w:p w14:paraId="0E347708" w14:textId="77777777" w:rsidR="007942CC" w:rsidRPr="00466B88" w:rsidRDefault="007942CC" w:rsidP="007942CC">
            <w:pPr>
              <w:pStyle w:val="Table"/>
              <w:rPr>
                <w:lang w:bidi="hi-IN"/>
              </w:rPr>
            </w:pPr>
            <w:r w:rsidRPr="00466B88">
              <w:rPr>
                <w:lang w:bidi="hi-IN"/>
              </w:rPr>
              <w:t xml:space="preserve">Control activities are the actions established through policies and procedures that help ensure that management’s directives to mitigate risks to the achievement of objectives are carried out. Control activities are performed at all levels of the entity, at various stages within business processes, and over the technology environment. They may be preventive or detective in nature and may encompass a range of manual and automated activities such as authorizations and approvals, verifications, reconciliations, and business performance reviews. Segregation of duties is typically built into the selection and development of control activities. Where segregation of duties is not practical, management selects and develops alternative control activities. </w:t>
            </w:r>
          </w:p>
        </w:tc>
      </w:tr>
      <w:tr w:rsidR="007942CC" w:rsidRPr="00466B88" w14:paraId="410C8436" w14:textId="77777777" w:rsidTr="00D1626C">
        <w:tc>
          <w:tcPr>
            <w:tcW w:w="1705" w:type="dxa"/>
            <w:shd w:val="clear" w:color="auto" w:fill="DAEEF3" w:themeFill="accent5" w:themeFillTint="33"/>
          </w:tcPr>
          <w:p w14:paraId="2C1635BD" w14:textId="77777777" w:rsidR="007942CC" w:rsidRPr="00466B88" w:rsidRDefault="007942CC" w:rsidP="007942CC">
            <w:pPr>
              <w:pStyle w:val="Table"/>
              <w:rPr>
                <w:highlight w:val="yellow"/>
              </w:rPr>
            </w:pPr>
            <w:r w:rsidRPr="00466B88">
              <w:rPr>
                <w:lang w:bidi="hi-IN"/>
              </w:rPr>
              <w:t>Control Environment</w:t>
            </w:r>
          </w:p>
        </w:tc>
        <w:tc>
          <w:tcPr>
            <w:tcW w:w="6930" w:type="dxa"/>
            <w:shd w:val="clear" w:color="auto" w:fill="DAEEF3" w:themeFill="accent5" w:themeFillTint="33"/>
          </w:tcPr>
          <w:p w14:paraId="6B18699A" w14:textId="77777777" w:rsidR="007942CC" w:rsidRPr="0070214A" w:rsidRDefault="007942CC" w:rsidP="007942CC">
            <w:pPr>
              <w:pStyle w:val="Table"/>
              <w:rPr>
                <w:b/>
                <w:bCs/>
                <w:lang w:bidi="hi-IN"/>
              </w:rPr>
            </w:pPr>
            <w:r w:rsidRPr="0070214A">
              <w:rPr>
                <w:b/>
                <w:bCs/>
                <w:lang w:bidi="hi-IN"/>
              </w:rPr>
              <w:t xml:space="preserve">One of the five components of COSO Internal Control Integrated Framework. </w:t>
            </w:r>
          </w:p>
          <w:p w14:paraId="22981FE6" w14:textId="77777777" w:rsidR="007942CC" w:rsidRPr="00466B88" w:rsidRDefault="007942CC" w:rsidP="007942CC">
            <w:pPr>
              <w:pStyle w:val="Table"/>
              <w:rPr>
                <w:lang w:bidi="hi-IN"/>
              </w:rPr>
            </w:pPr>
            <w:r w:rsidRPr="00466B88">
              <w:rPr>
                <w:lang w:bidi="hi-IN"/>
              </w:rPr>
              <w:t xml:space="preserve">The control environment is the set of standards, processes, and structures that provide the basis for carrying out internal control across the organization. The board of directors and senior management establish the tone at the top regarding the importance of internal control including expected standards of conduct. Management reinforces expectations at the various levels of the organization. The control environment comprises the integrity and ethical values of the organization; the parameters enabling the board of directors to carry out its governance oversight responsibilities; the organizational structure and assignment of authority and responsibility; the process for attracting, developing, and retaining competent individuals; and the rigor around performance measures, incentives, and rewards to drive accountability for performance. The resulting control environment has a pervasive impact on the overall system of internal control.  </w:t>
            </w:r>
          </w:p>
        </w:tc>
      </w:tr>
      <w:tr w:rsidR="007942CC" w:rsidRPr="00466B88" w14:paraId="6AB86073" w14:textId="77777777" w:rsidTr="00D1626C">
        <w:tc>
          <w:tcPr>
            <w:tcW w:w="1705" w:type="dxa"/>
            <w:shd w:val="clear" w:color="auto" w:fill="DAEEF3" w:themeFill="accent5" w:themeFillTint="33"/>
          </w:tcPr>
          <w:p w14:paraId="1838D44D" w14:textId="77777777" w:rsidR="007942CC" w:rsidRPr="00466B88" w:rsidRDefault="007942CC" w:rsidP="007942CC">
            <w:pPr>
              <w:pStyle w:val="Table"/>
              <w:rPr>
                <w:lang w:bidi="hi-IN"/>
              </w:rPr>
            </w:pPr>
            <w:r w:rsidRPr="00466B88">
              <w:rPr>
                <w:lang w:bidi="hi-IN"/>
              </w:rPr>
              <w:t>Information &amp; Communication</w:t>
            </w:r>
          </w:p>
        </w:tc>
        <w:tc>
          <w:tcPr>
            <w:tcW w:w="6930" w:type="dxa"/>
            <w:shd w:val="clear" w:color="auto" w:fill="DAEEF3" w:themeFill="accent5" w:themeFillTint="33"/>
          </w:tcPr>
          <w:p w14:paraId="573548CA" w14:textId="77777777" w:rsidR="007942CC" w:rsidRPr="0070214A" w:rsidRDefault="007942CC" w:rsidP="007942CC">
            <w:pPr>
              <w:pStyle w:val="Table"/>
              <w:rPr>
                <w:b/>
                <w:bCs/>
                <w:lang w:bidi="hi-IN"/>
              </w:rPr>
            </w:pPr>
            <w:r w:rsidRPr="0070214A">
              <w:rPr>
                <w:b/>
                <w:bCs/>
                <w:lang w:bidi="hi-IN"/>
              </w:rPr>
              <w:t xml:space="preserve">One of the five components of COSO </w:t>
            </w:r>
            <w:r w:rsidRPr="0070214A">
              <w:rPr>
                <w:b/>
                <w:bCs/>
                <w:i/>
                <w:lang w:bidi="hi-IN"/>
              </w:rPr>
              <w:t>Internal Control Integrated Framework</w:t>
            </w:r>
            <w:r w:rsidRPr="0070214A">
              <w:rPr>
                <w:b/>
                <w:bCs/>
                <w:lang w:bidi="hi-IN"/>
              </w:rPr>
              <w:t xml:space="preserve">. </w:t>
            </w:r>
          </w:p>
          <w:p w14:paraId="32365DC7" w14:textId="77777777" w:rsidR="007942CC" w:rsidRPr="00466B88" w:rsidRDefault="007942CC" w:rsidP="007942CC">
            <w:pPr>
              <w:pStyle w:val="Table"/>
              <w:rPr>
                <w:lang w:bidi="hi-IN"/>
              </w:rPr>
            </w:pPr>
            <w:r w:rsidRPr="00466B88">
              <w:rPr>
                <w:lang w:bidi="hi-IN"/>
              </w:rPr>
              <w:t>Information is necessary for the entity to carry out internal</w:t>
            </w:r>
            <w:r w:rsidRPr="00466B88">
              <w:rPr>
                <w:lang w:bidi="hi-IN"/>
              </w:rPr>
              <w:br/>
              <w:t xml:space="preserve">control responsibilities in support of achievement of its objectives. Communication occurs both internally and externally and provides the organization with the information needed to carry out day-to-day internal control activities. Communication enables personnel to understand </w:t>
            </w:r>
            <w:r w:rsidRPr="00466B88">
              <w:rPr>
                <w:lang w:bidi="hi-IN"/>
              </w:rPr>
              <w:lastRenderedPageBreak/>
              <w:t xml:space="preserve">internal control responsibilities and their importance to the achievement of objectives. </w:t>
            </w:r>
          </w:p>
        </w:tc>
      </w:tr>
      <w:tr w:rsidR="007942CC" w:rsidRPr="00466B88" w14:paraId="1C099D4E" w14:textId="77777777" w:rsidTr="00D1626C">
        <w:tc>
          <w:tcPr>
            <w:tcW w:w="1705" w:type="dxa"/>
            <w:shd w:val="clear" w:color="auto" w:fill="DAEEF3" w:themeFill="accent5" w:themeFillTint="33"/>
          </w:tcPr>
          <w:p w14:paraId="3E590EB8" w14:textId="77777777" w:rsidR="007942CC" w:rsidRPr="00466B88" w:rsidRDefault="007942CC" w:rsidP="007942CC">
            <w:pPr>
              <w:pStyle w:val="Table"/>
            </w:pPr>
            <w:r w:rsidRPr="00466B88">
              <w:rPr>
                <w:lang w:bidi="hi-IN"/>
              </w:rPr>
              <w:lastRenderedPageBreak/>
              <w:t>Information Technology Controls</w:t>
            </w:r>
          </w:p>
        </w:tc>
        <w:tc>
          <w:tcPr>
            <w:tcW w:w="6930" w:type="dxa"/>
            <w:shd w:val="clear" w:color="auto" w:fill="DAEEF3" w:themeFill="accent5" w:themeFillTint="33"/>
          </w:tcPr>
          <w:p w14:paraId="799674BE" w14:textId="77777777" w:rsidR="007942CC" w:rsidRPr="00466B88" w:rsidRDefault="007942CC" w:rsidP="007942CC">
            <w:pPr>
              <w:pStyle w:val="Table"/>
            </w:pPr>
            <w:r w:rsidRPr="00466B88">
              <w:rPr>
                <w:lang w:bidi="hi-IN"/>
              </w:rPr>
              <w:t xml:space="preserve">Controls that support business management and governance as well as provide general and technical controls over information technology infrastructures such as applications, information, infrastructure, and people. </w:t>
            </w:r>
          </w:p>
        </w:tc>
      </w:tr>
      <w:tr w:rsidR="007942CC" w:rsidRPr="00466B88" w14:paraId="374CEDF0" w14:textId="77777777" w:rsidTr="00D1626C">
        <w:tc>
          <w:tcPr>
            <w:tcW w:w="1705" w:type="dxa"/>
            <w:shd w:val="clear" w:color="auto" w:fill="DAEEF3" w:themeFill="accent5" w:themeFillTint="33"/>
          </w:tcPr>
          <w:p w14:paraId="37E46B9D" w14:textId="77777777" w:rsidR="007942CC" w:rsidRPr="00466B88" w:rsidRDefault="007942CC" w:rsidP="007942CC">
            <w:pPr>
              <w:pStyle w:val="Table"/>
            </w:pPr>
            <w:r w:rsidRPr="00466B88">
              <w:rPr>
                <w:lang w:bidi="hi-IN"/>
              </w:rPr>
              <w:t>Information Technology Governance</w:t>
            </w:r>
          </w:p>
        </w:tc>
        <w:tc>
          <w:tcPr>
            <w:tcW w:w="6930" w:type="dxa"/>
            <w:shd w:val="clear" w:color="auto" w:fill="DAEEF3" w:themeFill="accent5" w:themeFillTint="33"/>
          </w:tcPr>
          <w:p w14:paraId="51013B4E" w14:textId="77777777" w:rsidR="007942CC" w:rsidRPr="00466B88" w:rsidRDefault="007942CC" w:rsidP="007942CC">
            <w:pPr>
              <w:pStyle w:val="Table"/>
            </w:pPr>
            <w:r w:rsidRPr="00466B88">
              <w:rPr>
                <w:lang w:bidi="hi-IN"/>
              </w:rPr>
              <w:t xml:space="preserve">Consists of the leadership, organizational structures, and processes that ensure that the enterprise’s information technology supports the organization’s strategies and objectives. </w:t>
            </w:r>
          </w:p>
        </w:tc>
      </w:tr>
      <w:tr w:rsidR="007942CC" w:rsidRPr="00466B88" w14:paraId="1AB94311" w14:textId="77777777" w:rsidTr="00D1626C">
        <w:tc>
          <w:tcPr>
            <w:tcW w:w="1705" w:type="dxa"/>
            <w:shd w:val="clear" w:color="auto" w:fill="DAEEF3" w:themeFill="accent5" w:themeFillTint="33"/>
          </w:tcPr>
          <w:p w14:paraId="1D50D86C" w14:textId="77777777" w:rsidR="007942CC" w:rsidRPr="00466B88" w:rsidRDefault="007942CC" w:rsidP="007942CC">
            <w:pPr>
              <w:pStyle w:val="Table"/>
            </w:pPr>
            <w:r w:rsidRPr="00466B88">
              <w:t>Internal Control</w:t>
            </w:r>
          </w:p>
        </w:tc>
        <w:tc>
          <w:tcPr>
            <w:tcW w:w="6930" w:type="dxa"/>
            <w:shd w:val="clear" w:color="auto" w:fill="DAEEF3" w:themeFill="accent5" w:themeFillTint="33"/>
          </w:tcPr>
          <w:p w14:paraId="418B5E9B" w14:textId="77777777" w:rsidR="007942CC" w:rsidRPr="00466B88" w:rsidRDefault="007942CC" w:rsidP="007942CC">
            <w:pPr>
              <w:pStyle w:val="Table"/>
            </w:pPr>
            <w:r w:rsidRPr="00466B88">
              <w:t>A process, effected by an entity’s board of directors, management and other personnel, designed to provide reasonable assurance regarding the achievement of objectives relating to operations, reporting and compliance.</w:t>
            </w:r>
          </w:p>
        </w:tc>
      </w:tr>
      <w:tr w:rsidR="007942CC" w:rsidRPr="00466B88" w14:paraId="74762EB4" w14:textId="77777777" w:rsidTr="00D1626C">
        <w:tc>
          <w:tcPr>
            <w:tcW w:w="1705" w:type="dxa"/>
            <w:shd w:val="clear" w:color="auto" w:fill="DAEEF3" w:themeFill="accent5" w:themeFillTint="33"/>
          </w:tcPr>
          <w:p w14:paraId="504EA616" w14:textId="77777777" w:rsidR="007942CC" w:rsidRPr="00466B88" w:rsidRDefault="007942CC"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Monitoring Activities</w:t>
            </w:r>
          </w:p>
        </w:tc>
        <w:tc>
          <w:tcPr>
            <w:tcW w:w="6930" w:type="dxa"/>
            <w:shd w:val="clear" w:color="auto" w:fill="DAEEF3" w:themeFill="accent5" w:themeFillTint="33"/>
          </w:tcPr>
          <w:p w14:paraId="74467BB2" w14:textId="77777777" w:rsidR="007942CC" w:rsidRPr="0070214A" w:rsidRDefault="007942CC" w:rsidP="007942CC">
            <w:pPr>
              <w:pStyle w:val="Table"/>
              <w:rPr>
                <w:b/>
                <w:bCs/>
                <w:lang w:bidi="hi-IN"/>
              </w:rPr>
            </w:pPr>
            <w:r w:rsidRPr="0070214A">
              <w:rPr>
                <w:b/>
                <w:bCs/>
                <w:lang w:bidi="hi-IN"/>
              </w:rPr>
              <w:t xml:space="preserve">One of the five components of COSO </w:t>
            </w:r>
            <w:r w:rsidRPr="0070214A">
              <w:rPr>
                <w:b/>
                <w:bCs/>
                <w:i/>
                <w:lang w:bidi="hi-IN"/>
              </w:rPr>
              <w:t>Internal Control Integrated Framework</w:t>
            </w:r>
            <w:r w:rsidRPr="0070214A">
              <w:rPr>
                <w:b/>
                <w:bCs/>
                <w:lang w:bidi="hi-IN"/>
              </w:rPr>
              <w:t xml:space="preserve">. </w:t>
            </w:r>
          </w:p>
          <w:p w14:paraId="4F045679" w14:textId="77777777" w:rsidR="007942CC" w:rsidRPr="00466B88" w:rsidRDefault="007942CC"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 xml:space="preserve">Ongoing evaluations, separate evaluations, or some combination of the two are used to ascertain whether each of the five components of internal control, including controls to </w:t>
            </w:r>
            <w:proofErr w:type="gramStart"/>
            <w:r w:rsidRPr="00466B88">
              <w:rPr>
                <w:rFonts w:ascii="Calibri" w:eastAsia="SimSun" w:hAnsi="Calibri" w:cs="Calibri"/>
                <w:kern w:val="3"/>
                <w:lang w:eastAsia="zh-CN" w:bidi="hi-IN"/>
              </w:rPr>
              <w:t>effect</w:t>
            </w:r>
            <w:proofErr w:type="gramEnd"/>
            <w:r w:rsidRPr="00466B88">
              <w:rPr>
                <w:rFonts w:ascii="Calibri" w:eastAsia="SimSun" w:hAnsi="Calibri" w:cs="Calibri"/>
                <w:kern w:val="3"/>
                <w:lang w:eastAsia="zh-CN" w:bidi="hi-IN"/>
              </w:rPr>
              <w:t xml:space="preserve"> the principles within each component, are present and functioning. Findings are evaluated and deficiencies are communicated in a timely manner, with serious matters reported to senior management and to the board. </w:t>
            </w:r>
          </w:p>
        </w:tc>
      </w:tr>
      <w:tr w:rsidR="007942CC" w:rsidRPr="00466B88" w14:paraId="2FA9A302" w14:textId="77777777" w:rsidTr="00D1626C">
        <w:tc>
          <w:tcPr>
            <w:tcW w:w="1705" w:type="dxa"/>
            <w:shd w:val="clear" w:color="auto" w:fill="DAEEF3" w:themeFill="accent5" w:themeFillTint="33"/>
          </w:tcPr>
          <w:p w14:paraId="74EAABEB" w14:textId="77777777" w:rsidR="007942CC" w:rsidRPr="00466B88" w:rsidRDefault="007942CC"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Risk Assessment</w:t>
            </w:r>
          </w:p>
        </w:tc>
        <w:tc>
          <w:tcPr>
            <w:tcW w:w="6930" w:type="dxa"/>
            <w:shd w:val="clear" w:color="auto" w:fill="DAEEF3" w:themeFill="accent5" w:themeFillTint="33"/>
          </w:tcPr>
          <w:p w14:paraId="69D25260" w14:textId="77777777" w:rsidR="007942CC" w:rsidRPr="0070214A" w:rsidRDefault="007942CC" w:rsidP="007942CC">
            <w:pPr>
              <w:pStyle w:val="Table"/>
              <w:rPr>
                <w:b/>
                <w:bCs/>
                <w:i/>
                <w:lang w:bidi="hi-IN"/>
              </w:rPr>
            </w:pPr>
            <w:r w:rsidRPr="0070214A">
              <w:rPr>
                <w:b/>
                <w:bCs/>
                <w:lang w:bidi="hi-IN"/>
              </w:rPr>
              <w:t xml:space="preserve">One of the five components of COSO </w:t>
            </w:r>
            <w:r w:rsidRPr="0070214A">
              <w:rPr>
                <w:b/>
                <w:bCs/>
                <w:i/>
                <w:lang w:bidi="hi-IN"/>
              </w:rPr>
              <w:t xml:space="preserve">Internal Control Integrated Framework. </w:t>
            </w:r>
          </w:p>
          <w:p w14:paraId="0D2DC34A" w14:textId="060D91E8" w:rsidR="007942CC" w:rsidRPr="00466B88" w:rsidRDefault="007942CC"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Risk assessment involves a dynamic and iterative process for identifying and analyzing risks to achieving the entity’s objectives, forming a basis for determining how risks should be managed. Management considers possible changes in the external environment and within its own business model that may impede its ability to achieve its objectives. Risk Assessment includes processes for risk identification, risk analysis, and risk response; that risk tolerances and an acceptable level of variation in performance should be considered in the assessment of acceptable risk levels; and the discussion of risk severity includes velocity and persistence in addition to impact and likelihood.</w:t>
            </w:r>
          </w:p>
        </w:tc>
      </w:tr>
    </w:tbl>
    <w:p w14:paraId="19DF5540" w14:textId="77777777" w:rsidR="007942CC" w:rsidRDefault="007942CC" w:rsidP="00DF57E2">
      <w:pPr>
        <w:pStyle w:val="ListParagraph"/>
      </w:pPr>
    </w:p>
    <w:p w14:paraId="27D643B4" w14:textId="77777777" w:rsidR="007942CC" w:rsidRDefault="007942CC">
      <w:pPr>
        <w:spacing w:after="200"/>
        <w:rPr>
          <w:rFonts w:ascii="Calibri" w:eastAsia="SimSun" w:hAnsi="Calibri" w:cs="Calibri"/>
          <w:kern w:val="3"/>
          <w:lang w:eastAsia="zh-CN" w:bidi="hi-IN"/>
        </w:rPr>
      </w:pPr>
      <w:r>
        <w:br w:type="page"/>
      </w:r>
    </w:p>
    <w:p w14:paraId="61F026DB" w14:textId="03BCFC12" w:rsidR="007942CC" w:rsidRDefault="007942CC" w:rsidP="003E7B6E">
      <w:pPr>
        <w:pStyle w:val="Heading1"/>
        <w:jc w:val="center"/>
      </w:pPr>
      <w:r>
        <w:lastRenderedPageBreak/>
        <w:t>Section B</w:t>
      </w:r>
      <w:r w:rsidR="0017200B">
        <w:t>4</w:t>
      </w:r>
      <w:r>
        <w:t xml:space="preserve"> Terms </w:t>
      </w:r>
      <w:r w:rsidR="003E7B6E">
        <w:t>that relate</w:t>
      </w:r>
      <w:r>
        <w:t xml:space="preserve"> to </w:t>
      </w:r>
      <w:r w:rsidR="003E7B6E">
        <w:t xml:space="preserve">the </w:t>
      </w:r>
      <w:r>
        <w:t xml:space="preserve">elements of a </w:t>
      </w:r>
      <w:r w:rsidR="003E7B6E">
        <w:br/>
      </w:r>
      <w:r>
        <w:t>performance management framework</w:t>
      </w:r>
    </w:p>
    <w:p w14:paraId="550F90ED" w14:textId="77777777" w:rsidR="00AC6457" w:rsidRPr="00AC6457" w:rsidRDefault="00AC6457" w:rsidP="00AC6457">
      <w:pPr>
        <w:rPr>
          <w:lang w:eastAsia="ja-JP"/>
        </w:rPr>
      </w:pPr>
    </w:p>
    <w:tbl>
      <w:tblPr>
        <w:tblStyle w:val="TableGrid"/>
        <w:tblW w:w="8635" w:type="dxa"/>
        <w:tblLook w:val="04A0" w:firstRow="1" w:lastRow="0" w:firstColumn="1" w:lastColumn="0" w:noHBand="0" w:noVBand="1"/>
      </w:tblPr>
      <w:tblGrid>
        <w:gridCol w:w="1705"/>
        <w:gridCol w:w="6930"/>
      </w:tblGrid>
      <w:tr w:rsidR="007942CC" w:rsidRPr="00466B88" w14:paraId="78FEAA42" w14:textId="77777777" w:rsidTr="00D1626C">
        <w:trPr>
          <w:tblHeader/>
        </w:trPr>
        <w:tc>
          <w:tcPr>
            <w:tcW w:w="1705" w:type="dxa"/>
            <w:shd w:val="clear" w:color="auto" w:fill="E5DFEC" w:themeFill="accent4" w:themeFillTint="33"/>
          </w:tcPr>
          <w:p w14:paraId="5137A71E" w14:textId="77777777" w:rsidR="007942CC" w:rsidRPr="00466B88" w:rsidRDefault="007942CC" w:rsidP="007942CC">
            <w:pPr>
              <w:pStyle w:val="Table"/>
              <w:jc w:val="center"/>
              <w:rPr>
                <w:b/>
                <w:sz w:val="24"/>
                <w:szCs w:val="24"/>
              </w:rPr>
            </w:pPr>
            <w:r w:rsidRPr="00466B88">
              <w:rPr>
                <w:b/>
                <w:sz w:val="24"/>
                <w:szCs w:val="24"/>
              </w:rPr>
              <w:t>Terminology</w:t>
            </w:r>
          </w:p>
        </w:tc>
        <w:tc>
          <w:tcPr>
            <w:tcW w:w="6930" w:type="dxa"/>
            <w:shd w:val="clear" w:color="auto" w:fill="E5DFEC" w:themeFill="accent4" w:themeFillTint="33"/>
          </w:tcPr>
          <w:p w14:paraId="5F130DA0" w14:textId="77777777" w:rsidR="007942CC" w:rsidRPr="00466B88" w:rsidRDefault="007942CC" w:rsidP="007942CC">
            <w:pPr>
              <w:pStyle w:val="Table"/>
              <w:jc w:val="center"/>
              <w:rPr>
                <w:b/>
                <w:sz w:val="24"/>
                <w:szCs w:val="24"/>
              </w:rPr>
            </w:pPr>
            <w:r w:rsidRPr="00466B88">
              <w:rPr>
                <w:b/>
                <w:sz w:val="24"/>
                <w:szCs w:val="24"/>
              </w:rPr>
              <w:t>Definition</w:t>
            </w:r>
          </w:p>
        </w:tc>
      </w:tr>
      <w:tr w:rsidR="007942CC" w:rsidRPr="00466B88" w14:paraId="5E6D5393" w14:textId="77777777" w:rsidTr="00D1626C">
        <w:tc>
          <w:tcPr>
            <w:tcW w:w="1705" w:type="dxa"/>
            <w:shd w:val="clear" w:color="auto" w:fill="E5DFEC" w:themeFill="accent4" w:themeFillTint="33"/>
          </w:tcPr>
          <w:p w14:paraId="5CD69ED6" w14:textId="77777777" w:rsidR="007942CC" w:rsidRPr="00466B88" w:rsidRDefault="007942CC" w:rsidP="007942CC">
            <w:pPr>
              <w:pStyle w:val="Table"/>
              <w:rPr>
                <w:lang w:bidi="hi-IN"/>
              </w:rPr>
            </w:pPr>
            <w:r w:rsidRPr="00466B88">
              <w:rPr>
                <w:lang w:bidi="hi-IN"/>
              </w:rPr>
              <w:t>Economy</w:t>
            </w:r>
          </w:p>
        </w:tc>
        <w:tc>
          <w:tcPr>
            <w:tcW w:w="6930" w:type="dxa"/>
            <w:shd w:val="clear" w:color="auto" w:fill="E5DFEC" w:themeFill="accent4" w:themeFillTint="33"/>
          </w:tcPr>
          <w:p w14:paraId="30985122" w14:textId="77777777" w:rsidR="007942CC" w:rsidRPr="00466B88" w:rsidRDefault="007942CC" w:rsidP="007942CC">
            <w:pPr>
              <w:pStyle w:val="Table"/>
              <w:rPr>
                <w:lang w:bidi="hi-IN"/>
              </w:rPr>
            </w:pPr>
            <w:r w:rsidRPr="00466B88">
              <w:rPr>
                <w:lang w:bidi="hi-IN"/>
              </w:rPr>
              <w:t>Minimizing the cost resources used to achieve a certain level of outputs while having regard to quality - “spending less”</w:t>
            </w:r>
            <w:r w:rsidRPr="00466B88">
              <w:rPr>
                <w:rStyle w:val="FootnoteReference"/>
                <w:lang w:bidi="hi-IN"/>
              </w:rPr>
              <w:footnoteReference w:id="10"/>
            </w:r>
          </w:p>
        </w:tc>
      </w:tr>
      <w:tr w:rsidR="007942CC" w:rsidRPr="00466B88" w14:paraId="62DCD020" w14:textId="77777777" w:rsidTr="00D1626C">
        <w:tc>
          <w:tcPr>
            <w:tcW w:w="1705" w:type="dxa"/>
            <w:shd w:val="clear" w:color="auto" w:fill="E5DFEC" w:themeFill="accent4" w:themeFillTint="33"/>
          </w:tcPr>
          <w:p w14:paraId="232C2085" w14:textId="77777777" w:rsidR="007942CC" w:rsidRPr="00466B88" w:rsidRDefault="007942CC" w:rsidP="007942CC">
            <w:pPr>
              <w:pStyle w:val="Table"/>
              <w:rPr>
                <w:lang w:bidi="hi-IN"/>
              </w:rPr>
            </w:pPr>
            <w:r w:rsidRPr="00466B88">
              <w:rPr>
                <w:lang w:bidi="hi-IN"/>
              </w:rPr>
              <w:t>Efficiency</w:t>
            </w:r>
          </w:p>
        </w:tc>
        <w:tc>
          <w:tcPr>
            <w:tcW w:w="6930" w:type="dxa"/>
            <w:shd w:val="clear" w:color="auto" w:fill="E5DFEC" w:themeFill="accent4" w:themeFillTint="33"/>
          </w:tcPr>
          <w:p w14:paraId="6EE85A4B" w14:textId="77777777" w:rsidR="007942CC" w:rsidRPr="00466B88" w:rsidRDefault="007942CC" w:rsidP="007942CC">
            <w:pPr>
              <w:pStyle w:val="Table"/>
              <w:rPr>
                <w:lang w:bidi="hi-IN"/>
              </w:rPr>
            </w:pPr>
            <w:r w:rsidRPr="00466B88">
              <w:rPr>
                <w:lang w:bidi="hi-IN"/>
              </w:rPr>
              <w:t>The relationship between the output from goods or services and the resources required to produce them – “spending well”</w:t>
            </w:r>
            <w:r w:rsidRPr="00466B88">
              <w:rPr>
                <w:rStyle w:val="FootnoteReference"/>
                <w:lang w:bidi="hi-IN"/>
              </w:rPr>
              <w:footnoteReference w:id="11"/>
            </w:r>
          </w:p>
        </w:tc>
      </w:tr>
      <w:tr w:rsidR="007942CC" w:rsidRPr="00466B88" w14:paraId="2B0435FB" w14:textId="77777777" w:rsidTr="00D1626C">
        <w:tc>
          <w:tcPr>
            <w:tcW w:w="1705" w:type="dxa"/>
            <w:shd w:val="clear" w:color="auto" w:fill="E5DFEC" w:themeFill="accent4" w:themeFillTint="33"/>
          </w:tcPr>
          <w:p w14:paraId="4C295695" w14:textId="77777777" w:rsidR="007942CC" w:rsidRPr="00466B88" w:rsidRDefault="007942CC" w:rsidP="007942CC">
            <w:pPr>
              <w:pStyle w:val="Table"/>
              <w:rPr>
                <w:lang w:bidi="hi-IN"/>
              </w:rPr>
            </w:pPr>
            <w:r w:rsidRPr="00466B88">
              <w:rPr>
                <w:lang w:bidi="hi-IN"/>
              </w:rPr>
              <w:t>Effectiveness</w:t>
            </w:r>
          </w:p>
        </w:tc>
        <w:tc>
          <w:tcPr>
            <w:tcW w:w="6930" w:type="dxa"/>
            <w:shd w:val="clear" w:color="auto" w:fill="E5DFEC" w:themeFill="accent4" w:themeFillTint="33"/>
          </w:tcPr>
          <w:p w14:paraId="68EB6EBD" w14:textId="77777777" w:rsidR="007942CC" w:rsidRPr="00466B88" w:rsidRDefault="007942CC" w:rsidP="007942CC">
            <w:pPr>
              <w:pStyle w:val="Table"/>
              <w:rPr>
                <w:lang w:bidi="hi-IN"/>
              </w:rPr>
            </w:pPr>
            <w:r w:rsidRPr="00466B88">
              <w:rPr>
                <w:lang w:bidi="hi-IN"/>
              </w:rPr>
              <w:t>The extent to which objectives are achieved and the relationship between intended and actual impact of a service – “spending wisely”</w:t>
            </w:r>
            <w:r w:rsidRPr="00466B88">
              <w:rPr>
                <w:rStyle w:val="FootnoteReference"/>
                <w:lang w:bidi="hi-IN"/>
              </w:rPr>
              <w:footnoteReference w:id="12"/>
            </w:r>
          </w:p>
        </w:tc>
      </w:tr>
      <w:tr w:rsidR="007942CC" w:rsidRPr="00466B88" w14:paraId="31375CD2" w14:textId="77777777" w:rsidTr="00D1626C">
        <w:tc>
          <w:tcPr>
            <w:tcW w:w="1705" w:type="dxa"/>
            <w:shd w:val="clear" w:color="auto" w:fill="E5DFEC" w:themeFill="accent4" w:themeFillTint="33"/>
          </w:tcPr>
          <w:p w14:paraId="5B97B88C" w14:textId="77777777" w:rsidR="007942CC" w:rsidRPr="00466B88" w:rsidRDefault="007942CC" w:rsidP="007942CC">
            <w:pPr>
              <w:pStyle w:val="Table"/>
              <w:rPr>
                <w:rFonts w:ascii="Calibri" w:eastAsia="SimSun" w:hAnsi="Calibri" w:cs="Calibri"/>
                <w:bCs/>
                <w:kern w:val="3"/>
                <w:lang w:eastAsia="zh-CN" w:bidi="hi-IN"/>
              </w:rPr>
            </w:pPr>
            <w:r w:rsidRPr="00466B88">
              <w:rPr>
                <w:rFonts w:ascii="Calibri" w:eastAsia="SimSun" w:hAnsi="Calibri" w:cs="Calibri"/>
                <w:bCs/>
                <w:kern w:val="3"/>
                <w:lang w:eastAsia="zh-CN" w:bidi="hi-IN"/>
              </w:rPr>
              <w:t>Outcome</w:t>
            </w:r>
          </w:p>
        </w:tc>
        <w:tc>
          <w:tcPr>
            <w:tcW w:w="6930" w:type="dxa"/>
            <w:shd w:val="clear" w:color="auto" w:fill="E5DFEC" w:themeFill="accent4" w:themeFillTint="33"/>
          </w:tcPr>
          <w:p w14:paraId="668FAEF2" w14:textId="77777777" w:rsidR="007942CC" w:rsidRPr="00466B88" w:rsidRDefault="007942CC"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The effects of a program or project measured at the highest meaningful level in proportion to the program or project (e.g. jobs created). In practice there are always at least some external non-controllable elements, which influence whether outcomes are achieved or not.</w:t>
            </w:r>
          </w:p>
        </w:tc>
      </w:tr>
      <w:tr w:rsidR="007942CC" w:rsidRPr="00466B88" w14:paraId="28D58EE8" w14:textId="77777777" w:rsidTr="00D1626C">
        <w:trPr>
          <w:trHeight w:val="100"/>
        </w:trPr>
        <w:tc>
          <w:tcPr>
            <w:tcW w:w="1705" w:type="dxa"/>
            <w:shd w:val="clear" w:color="auto" w:fill="E5DFEC" w:themeFill="accent4" w:themeFillTint="33"/>
          </w:tcPr>
          <w:p w14:paraId="33F0B523" w14:textId="77777777" w:rsidR="007942CC" w:rsidRPr="00466B88" w:rsidRDefault="007942CC" w:rsidP="007942CC">
            <w:pPr>
              <w:pStyle w:val="Table"/>
              <w:rPr>
                <w:rFonts w:ascii="Calibri" w:eastAsia="SimSun" w:hAnsi="Calibri" w:cs="Calibri"/>
                <w:bCs/>
                <w:kern w:val="3"/>
                <w:lang w:eastAsia="zh-CN" w:bidi="hi-IN"/>
              </w:rPr>
            </w:pPr>
            <w:r w:rsidRPr="00466B88">
              <w:rPr>
                <w:rFonts w:ascii="Calibri" w:eastAsia="SimSun" w:hAnsi="Calibri" w:cs="Calibri"/>
                <w:bCs/>
                <w:kern w:val="3"/>
                <w:lang w:eastAsia="zh-CN" w:bidi="hi-IN"/>
              </w:rPr>
              <w:t>Outputs</w:t>
            </w:r>
          </w:p>
        </w:tc>
        <w:tc>
          <w:tcPr>
            <w:tcW w:w="6930" w:type="dxa"/>
            <w:shd w:val="clear" w:color="auto" w:fill="E5DFEC" w:themeFill="accent4" w:themeFillTint="33"/>
          </w:tcPr>
          <w:p w14:paraId="3461D92E" w14:textId="77777777" w:rsidR="007942CC" w:rsidRPr="00466B88" w:rsidRDefault="007942CC" w:rsidP="007942CC">
            <w:pPr>
              <w:pStyle w:val="Table"/>
              <w:rPr>
                <w:rFonts w:ascii="Calibri" w:eastAsia="SimSun" w:hAnsi="Calibri" w:cs="Calibri"/>
                <w:kern w:val="3"/>
                <w:lang w:eastAsia="zh-CN" w:bidi="hi-IN"/>
              </w:rPr>
            </w:pPr>
            <w:r w:rsidRPr="00466B88">
              <w:rPr>
                <w:rFonts w:ascii="Calibri" w:eastAsia="SimSun" w:hAnsi="Calibri" w:cs="Calibri"/>
                <w:kern w:val="3"/>
                <w:lang w:eastAsia="zh-CN" w:bidi="hi-IN"/>
              </w:rPr>
              <w:t>The directly tangible deliverables of a program or project insofar as they are, for practical purposes, completely under the control of the implementers of the project</w:t>
            </w:r>
            <w:r>
              <w:rPr>
                <w:rFonts w:ascii="Calibri" w:eastAsia="SimSun" w:hAnsi="Calibri" w:cs="Calibri"/>
                <w:kern w:val="3"/>
                <w:lang w:eastAsia="zh-CN" w:bidi="hi-IN"/>
              </w:rPr>
              <w:t>.</w:t>
            </w:r>
            <w:r w:rsidRPr="00466B88">
              <w:rPr>
                <w:rFonts w:ascii="Calibri" w:eastAsia="SimSun" w:hAnsi="Calibri" w:cs="Calibri"/>
                <w:kern w:val="3"/>
                <w:lang w:eastAsia="zh-CN" w:bidi="hi-IN"/>
              </w:rPr>
              <w:t xml:space="preserve"> </w:t>
            </w:r>
          </w:p>
        </w:tc>
      </w:tr>
      <w:tr w:rsidR="00935328" w:rsidRPr="000573FF" w14:paraId="4F465851" w14:textId="77777777" w:rsidTr="00935328">
        <w:tc>
          <w:tcPr>
            <w:tcW w:w="1705" w:type="dxa"/>
            <w:shd w:val="clear" w:color="auto" w:fill="E5DFEC" w:themeFill="accent4" w:themeFillTint="33"/>
          </w:tcPr>
          <w:p w14:paraId="01407A54" w14:textId="0F2EF551" w:rsidR="00935328" w:rsidRPr="00956539" w:rsidRDefault="00935328" w:rsidP="00D738C1">
            <w:pPr>
              <w:pStyle w:val="Table"/>
              <w:rPr>
                <w:rFonts w:cstheme="majorHAnsi"/>
                <w:bCs/>
                <w:color w:val="000000" w:themeColor="text1"/>
              </w:rPr>
            </w:pPr>
            <w:r>
              <w:rPr>
                <w:rFonts w:cstheme="majorHAnsi"/>
                <w:bCs/>
                <w:color w:val="000000" w:themeColor="text1"/>
              </w:rPr>
              <w:t>Value for Money</w:t>
            </w:r>
          </w:p>
        </w:tc>
        <w:tc>
          <w:tcPr>
            <w:tcW w:w="6930" w:type="dxa"/>
            <w:shd w:val="clear" w:color="auto" w:fill="E5DFEC" w:themeFill="accent4" w:themeFillTint="33"/>
          </w:tcPr>
          <w:p w14:paraId="21A197B9" w14:textId="77777777" w:rsidR="00935328" w:rsidRPr="00956539" w:rsidRDefault="00935328" w:rsidP="00D738C1">
            <w:pPr>
              <w:pStyle w:val="Table"/>
              <w:rPr>
                <w:rFonts w:cstheme="majorHAnsi"/>
                <w:color w:val="000000" w:themeColor="text1"/>
              </w:rPr>
            </w:pPr>
            <w:r w:rsidRPr="002E1674">
              <w:rPr>
                <w:rFonts w:cstheme="majorHAnsi"/>
                <w:color w:val="000000" w:themeColor="text1"/>
              </w:rPr>
              <w:t>Good value for money is the optimal use of resources to achieve the intended outcomes. ‘Optimal’ means ‘the most desirable possible given expressed or implied restrictions or constraints’. Value for money is not about achieving the lowest initial price.</w:t>
            </w:r>
            <w:r>
              <w:rPr>
                <w:rStyle w:val="FootnoteReference"/>
                <w:rFonts w:cstheme="majorHAnsi"/>
                <w:color w:val="000000" w:themeColor="text1"/>
              </w:rPr>
              <w:footnoteReference w:id="13"/>
            </w:r>
          </w:p>
        </w:tc>
      </w:tr>
    </w:tbl>
    <w:p w14:paraId="23D821EA" w14:textId="77777777" w:rsidR="00041A03" w:rsidRPr="002B097E" w:rsidRDefault="00041A03" w:rsidP="002B097E"/>
    <w:p w14:paraId="3599DA5C" w14:textId="77777777" w:rsidR="001500F0" w:rsidRPr="002B097E" w:rsidRDefault="001500F0"/>
    <w:sectPr w:rsidR="001500F0" w:rsidRPr="002B097E" w:rsidSect="00053D49">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58C4D" w14:textId="77777777" w:rsidR="0064329B" w:rsidRDefault="0064329B" w:rsidP="000B734A">
      <w:r>
        <w:separator/>
      </w:r>
    </w:p>
  </w:endnote>
  <w:endnote w:type="continuationSeparator" w:id="0">
    <w:p w14:paraId="26689365" w14:textId="77777777" w:rsidR="0064329B" w:rsidRDefault="0064329B" w:rsidP="000B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122AE" w14:textId="628F8208" w:rsidR="00DE0C1F" w:rsidRPr="00451143" w:rsidRDefault="00DE0C1F" w:rsidP="00F00E13">
    <w:pPr>
      <w:pStyle w:val="Footer"/>
      <w:rPr>
        <w:color w:val="1F497D" w:themeColor="text2"/>
      </w:rPr>
    </w:pPr>
    <w:r>
      <w:rPr>
        <w:color w:val="1F497D" w:themeColor="text2"/>
      </w:rPr>
      <w:tab/>
    </w:r>
    <w:r>
      <w:rPr>
        <w:color w:val="1F497D" w:themeColor="text2"/>
      </w:rPr>
      <w:tab/>
    </w:r>
    <w:r w:rsidRPr="00451143">
      <w:rPr>
        <w:color w:val="1F497D" w:themeColor="text2"/>
      </w:rPr>
      <w:t xml:space="preserve">Page </w:t>
    </w:r>
    <w:r w:rsidRPr="00451143">
      <w:rPr>
        <w:color w:val="1F497D" w:themeColor="text2"/>
      </w:rPr>
      <w:fldChar w:fldCharType="begin"/>
    </w:r>
    <w:r w:rsidRPr="00451143">
      <w:rPr>
        <w:color w:val="1F497D" w:themeColor="text2"/>
      </w:rPr>
      <w:instrText xml:space="preserve"> PAGE  \* MERGEFORMAT </w:instrText>
    </w:r>
    <w:r w:rsidRPr="00451143">
      <w:rPr>
        <w:color w:val="1F497D" w:themeColor="text2"/>
      </w:rPr>
      <w:fldChar w:fldCharType="separate"/>
    </w:r>
    <w:r>
      <w:rPr>
        <w:noProof/>
        <w:color w:val="1F497D" w:themeColor="text2"/>
      </w:rPr>
      <w:t>1</w:t>
    </w:r>
    <w:r w:rsidRPr="00451143">
      <w:rPr>
        <w:color w:val="1F497D" w:themeColor="text2"/>
      </w:rPr>
      <w:fldChar w:fldCharType="end"/>
    </w:r>
    <w:r w:rsidRPr="00451143">
      <w:rPr>
        <w:color w:val="1F497D" w:themeColor="text2"/>
      </w:rPr>
      <w:t xml:space="preserve"> of </w:t>
    </w:r>
    <w:fldSimple w:instr=" NUMPAGES  \* MERGEFORMAT ">
      <w:r>
        <w:rPr>
          <w:noProof/>
          <w:color w:val="1F497D" w:themeColor="text2"/>
        </w:rPr>
        <w:t>28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08CD9" w14:textId="77777777" w:rsidR="0064329B" w:rsidRDefault="0064329B" w:rsidP="000B734A">
      <w:r>
        <w:separator/>
      </w:r>
    </w:p>
  </w:footnote>
  <w:footnote w:type="continuationSeparator" w:id="0">
    <w:p w14:paraId="1F1D8D22" w14:textId="77777777" w:rsidR="0064329B" w:rsidRDefault="0064329B" w:rsidP="000B734A">
      <w:r>
        <w:continuationSeparator/>
      </w:r>
    </w:p>
  </w:footnote>
  <w:footnote w:id="1">
    <w:p w14:paraId="09881EC3" w14:textId="77777777" w:rsidR="00DE0C1F" w:rsidRPr="0098053B" w:rsidRDefault="00DE0C1F" w:rsidP="0086376D">
      <w:pPr>
        <w:pStyle w:val="FootnoteText"/>
        <w:jc w:val="both"/>
      </w:pPr>
      <w:r>
        <w:rPr>
          <w:rStyle w:val="FootnoteReference"/>
        </w:rPr>
        <w:footnoteRef/>
      </w:r>
      <w:r w:rsidRPr="008C4C8C">
        <w:t xml:space="preserve"> </w:t>
      </w:r>
      <w:r>
        <w:t>Source: IACOP Balanced Scorecard</w:t>
      </w:r>
    </w:p>
  </w:footnote>
  <w:footnote w:id="2">
    <w:p w14:paraId="4610D16B" w14:textId="77777777" w:rsidR="00DE0C1F" w:rsidRDefault="00DE0C1F" w:rsidP="00DF57E2">
      <w:pPr>
        <w:pStyle w:val="FootnoteText"/>
      </w:pPr>
      <w:r>
        <w:rPr>
          <w:rStyle w:val="FootnoteReference"/>
        </w:rPr>
        <w:footnoteRef/>
      </w:r>
      <w:r>
        <w:t xml:space="preserve"> EU definition corrected to reflect modern audit usage</w:t>
      </w:r>
    </w:p>
  </w:footnote>
  <w:footnote w:id="3">
    <w:p w14:paraId="0E3EC0A7" w14:textId="77777777" w:rsidR="00DE0C1F" w:rsidRDefault="00DE0C1F" w:rsidP="00DF57E2">
      <w:pPr>
        <w:pStyle w:val="FootnoteText"/>
      </w:pPr>
      <w:r>
        <w:rPr>
          <w:rStyle w:val="FootnoteReference"/>
        </w:rPr>
        <w:footnoteRef/>
      </w:r>
      <w:r>
        <w:t xml:space="preserve"> UK National Audit Office</w:t>
      </w:r>
    </w:p>
  </w:footnote>
  <w:footnote w:id="4">
    <w:p w14:paraId="187184C9" w14:textId="77777777" w:rsidR="00DE0C1F" w:rsidRDefault="00DE0C1F" w:rsidP="00DF57E2">
      <w:pPr>
        <w:pStyle w:val="FootnoteText"/>
      </w:pPr>
      <w:r>
        <w:rPr>
          <w:rStyle w:val="FootnoteReference"/>
        </w:rPr>
        <w:footnoteRef/>
      </w:r>
      <w:r>
        <w:t xml:space="preserve"> UK National Audit Office</w:t>
      </w:r>
    </w:p>
  </w:footnote>
  <w:footnote w:id="5">
    <w:p w14:paraId="55FFDCBF" w14:textId="77777777" w:rsidR="00DE0C1F" w:rsidRDefault="00DE0C1F" w:rsidP="00DF57E2">
      <w:pPr>
        <w:pStyle w:val="FootnoteText"/>
      </w:pPr>
      <w:r>
        <w:rPr>
          <w:rStyle w:val="FootnoteReference"/>
        </w:rPr>
        <w:footnoteRef/>
      </w:r>
      <w:r>
        <w:t xml:space="preserve"> UK National Audit Office</w:t>
      </w:r>
    </w:p>
  </w:footnote>
  <w:footnote w:id="6">
    <w:p w14:paraId="53C48166" w14:textId="77777777" w:rsidR="00DE0C1F" w:rsidRDefault="00DE0C1F" w:rsidP="00DF57E2">
      <w:pPr>
        <w:pStyle w:val="FootnoteText"/>
      </w:pPr>
      <w:r>
        <w:rPr>
          <w:rStyle w:val="FootnoteReference"/>
        </w:rPr>
        <w:footnoteRef/>
      </w:r>
      <w:r>
        <w:t xml:space="preserve"> COSO ERM definition modified to reflect event driven risk management terminology. </w:t>
      </w:r>
    </w:p>
  </w:footnote>
  <w:footnote w:id="7">
    <w:p w14:paraId="1AD7B4F1" w14:textId="529E1D3C" w:rsidR="00935328" w:rsidRDefault="00935328">
      <w:pPr>
        <w:pStyle w:val="FootnoteText"/>
      </w:pPr>
      <w:r>
        <w:rPr>
          <w:rStyle w:val="FootnoteReference"/>
        </w:rPr>
        <w:footnoteRef/>
      </w:r>
      <w:r>
        <w:t xml:space="preserve"> UK National Audit Office.</w:t>
      </w:r>
    </w:p>
  </w:footnote>
  <w:footnote w:id="8">
    <w:p w14:paraId="34A5031E" w14:textId="77777777" w:rsidR="00DE0C1F" w:rsidRDefault="00DE0C1F" w:rsidP="004005B6">
      <w:pPr>
        <w:pStyle w:val="FootnoteText"/>
      </w:pPr>
      <w:r>
        <w:rPr>
          <w:rStyle w:val="FootnoteReference"/>
        </w:rPr>
        <w:footnoteRef/>
      </w:r>
      <w:r>
        <w:t xml:space="preserve"> EU definition corrected to reflect modern audit usage</w:t>
      </w:r>
    </w:p>
  </w:footnote>
  <w:footnote w:id="9">
    <w:p w14:paraId="3975604E" w14:textId="77777777" w:rsidR="00DE0C1F" w:rsidRDefault="00DE0C1F" w:rsidP="007942CC">
      <w:pPr>
        <w:pStyle w:val="FootnoteText"/>
      </w:pPr>
      <w:r>
        <w:rPr>
          <w:rStyle w:val="FootnoteReference"/>
        </w:rPr>
        <w:footnoteRef/>
      </w:r>
      <w:r>
        <w:t xml:space="preserve"> COSO ERM definition modified to reflect event driven risk management terminology. </w:t>
      </w:r>
    </w:p>
  </w:footnote>
  <w:footnote w:id="10">
    <w:p w14:paraId="66FC51F9" w14:textId="77777777" w:rsidR="00DE0C1F" w:rsidRDefault="00DE0C1F" w:rsidP="007942CC">
      <w:pPr>
        <w:pStyle w:val="FootnoteText"/>
      </w:pPr>
      <w:r>
        <w:rPr>
          <w:rStyle w:val="FootnoteReference"/>
        </w:rPr>
        <w:footnoteRef/>
      </w:r>
      <w:r>
        <w:t xml:space="preserve"> UK National Audit Office</w:t>
      </w:r>
    </w:p>
  </w:footnote>
  <w:footnote w:id="11">
    <w:p w14:paraId="78E19BCA" w14:textId="77777777" w:rsidR="00DE0C1F" w:rsidRDefault="00DE0C1F" w:rsidP="007942CC">
      <w:pPr>
        <w:pStyle w:val="FootnoteText"/>
      </w:pPr>
      <w:r>
        <w:rPr>
          <w:rStyle w:val="FootnoteReference"/>
        </w:rPr>
        <w:footnoteRef/>
      </w:r>
      <w:r>
        <w:t xml:space="preserve"> UK National Audit Office</w:t>
      </w:r>
    </w:p>
  </w:footnote>
  <w:footnote w:id="12">
    <w:p w14:paraId="02228887" w14:textId="77777777" w:rsidR="00DE0C1F" w:rsidRDefault="00DE0C1F" w:rsidP="007942CC">
      <w:pPr>
        <w:pStyle w:val="FootnoteText"/>
      </w:pPr>
      <w:r>
        <w:rPr>
          <w:rStyle w:val="FootnoteReference"/>
        </w:rPr>
        <w:footnoteRef/>
      </w:r>
      <w:r>
        <w:t xml:space="preserve"> UK National Audit Office</w:t>
      </w:r>
    </w:p>
  </w:footnote>
  <w:footnote w:id="13">
    <w:p w14:paraId="58B70509" w14:textId="77777777" w:rsidR="00935328" w:rsidRDefault="00935328" w:rsidP="00935328">
      <w:pPr>
        <w:pStyle w:val="FootnoteText"/>
      </w:pPr>
      <w:r>
        <w:rPr>
          <w:rStyle w:val="FootnoteReference"/>
        </w:rPr>
        <w:footnoteRef/>
      </w:r>
      <w:r>
        <w:t xml:space="preserve"> UK National Audit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FC1A2" w14:textId="77777777" w:rsidR="00DE0C1F" w:rsidRPr="00451143" w:rsidRDefault="00DE0C1F" w:rsidP="00D011FE">
    <w:pPr>
      <w:pStyle w:val="Header"/>
      <w:jc w:val="center"/>
      <w:rPr>
        <w:color w:val="1F497D" w:themeColor="text2"/>
      </w:rPr>
    </w:pPr>
    <w:r>
      <w:rPr>
        <w:color w:val="1F497D" w:themeColor="text2"/>
      </w:rPr>
      <w:t xml:space="preserve">PEMPAL Glossary of Terms relating to Internal Control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D4203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DD4B55"/>
    <w:multiLevelType w:val="multilevel"/>
    <w:tmpl w:val="80468D32"/>
    <w:lvl w:ilvl="0">
      <w:start w:val="1"/>
      <w:numFmt w:val="bullet"/>
      <w:lvlText w:val=""/>
      <w:lvlJc w:val="left"/>
      <w:pPr>
        <w:tabs>
          <w:tab w:val="num" w:pos="1211"/>
        </w:tabs>
        <w:ind w:left="1211" w:hanging="284"/>
      </w:pPr>
      <w:rPr>
        <w:rFonts w:ascii="Symbol" w:hAnsi="Symbol" w:hint="default"/>
      </w:rPr>
    </w:lvl>
    <w:lvl w:ilvl="1">
      <w:start w:val="1"/>
      <w:numFmt w:val="bullet"/>
      <w:lvlText w:val="o"/>
      <w:lvlJc w:val="left"/>
      <w:pPr>
        <w:tabs>
          <w:tab w:val="num" w:pos="2367"/>
        </w:tabs>
        <w:ind w:left="2367" w:hanging="360"/>
      </w:pPr>
      <w:rPr>
        <w:rFonts w:ascii="Courier New" w:hAnsi="Courier New" w:hint="default"/>
      </w:rPr>
    </w:lvl>
    <w:lvl w:ilvl="2">
      <w:start w:val="1"/>
      <w:numFmt w:val="bullet"/>
      <w:lvlText w:val=""/>
      <w:lvlJc w:val="left"/>
      <w:pPr>
        <w:tabs>
          <w:tab w:val="num" w:pos="3087"/>
        </w:tabs>
        <w:ind w:left="3087" w:hanging="360"/>
      </w:pPr>
      <w:rPr>
        <w:rFonts w:ascii="Wingdings" w:hAnsi="Wingdings" w:hint="default"/>
      </w:rPr>
    </w:lvl>
    <w:lvl w:ilvl="3">
      <w:start w:val="1"/>
      <w:numFmt w:val="bullet"/>
      <w:lvlText w:val=""/>
      <w:lvlJc w:val="left"/>
      <w:pPr>
        <w:tabs>
          <w:tab w:val="num" w:pos="3807"/>
        </w:tabs>
        <w:ind w:left="3807" w:hanging="360"/>
      </w:pPr>
      <w:rPr>
        <w:rFonts w:ascii="Symbol" w:hAnsi="Symbol" w:hint="default"/>
      </w:rPr>
    </w:lvl>
    <w:lvl w:ilvl="4">
      <w:start w:val="1"/>
      <w:numFmt w:val="bullet"/>
      <w:lvlText w:val="o"/>
      <w:lvlJc w:val="left"/>
      <w:pPr>
        <w:tabs>
          <w:tab w:val="num" w:pos="4527"/>
        </w:tabs>
        <w:ind w:left="4527" w:hanging="360"/>
      </w:pPr>
      <w:rPr>
        <w:rFonts w:ascii="Courier New" w:hAnsi="Courier New" w:hint="default"/>
      </w:rPr>
    </w:lvl>
    <w:lvl w:ilvl="5">
      <w:start w:val="1"/>
      <w:numFmt w:val="bullet"/>
      <w:lvlText w:val=""/>
      <w:lvlJc w:val="left"/>
      <w:pPr>
        <w:tabs>
          <w:tab w:val="num" w:pos="5247"/>
        </w:tabs>
        <w:ind w:left="5247" w:hanging="360"/>
      </w:pPr>
      <w:rPr>
        <w:rFonts w:ascii="Wingdings" w:hAnsi="Wingdings" w:hint="default"/>
      </w:rPr>
    </w:lvl>
    <w:lvl w:ilvl="6">
      <w:start w:val="1"/>
      <w:numFmt w:val="bullet"/>
      <w:lvlText w:val=""/>
      <w:lvlJc w:val="left"/>
      <w:pPr>
        <w:tabs>
          <w:tab w:val="num" w:pos="5967"/>
        </w:tabs>
        <w:ind w:left="5967" w:hanging="360"/>
      </w:pPr>
      <w:rPr>
        <w:rFonts w:ascii="Symbol" w:hAnsi="Symbol" w:hint="default"/>
      </w:rPr>
    </w:lvl>
    <w:lvl w:ilvl="7">
      <w:start w:val="1"/>
      <w:numFmt w:val="bullet"/>
      <w:lvlText w:val="o"/>
      <w:lvlJc w:val="left"/>
      <w:pPr>
        <w:tabs>
          <w:tab w:val="num" w:pos="6687"/>
        </w:tabs>
        <w:ind w:left="6687" w:hanging="360"/>
      </w:pPr>
      <w:rPr>
        <w:rFonts w:ascii="Courier New" w:hAnsi="Courier New" w:hint="default"/>
      </w:rPr>
    </w:lvl>
    <w:lvl w:ilvl="8">
      <w:start w:val="1"/>
      <w:numFmt w:val="bullet"/>
      <w:lvlText w:val=""/>
      <w:lvlJc w:val="left"/>
      <w:pPr>
        <w:tabs>
          <w:tab w:val="num" w:pos="7407"/>
        </w:tabs>
        <w:ind w:left="7407" w:hanging="360"/>
      </w:pPr>
      <w:rPr>
        <w:rFonts w:ascii="Wingdings" w:hAnsi="Wingdings" w:hint="default"/>
      </w:rPr>
    </w:lvl>
  </w:abstractNum>
  <w:abstractNum w:abstractNumId="3" w15:restartNumberingAfterBreak="0">
    <w:nsid w:val="07673CD5"/>
    <w:multiLevelType w:val="hybridMultilevel"/>
    <w:tmpl w:val="0DF4A78C"/>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A9B152F"/>
    <w:multiLevelType w:val="hybridMultilevel"/>
    <w:tmpl w:val="167AB5D0"/>
    <w:lvl w:ilvl="0" w:tplc="81AAB822">
      <w:start w:val="1"/>
      <w:numFmt w:val="decimal"/>
      <w:pStyle w:val="numberedparas"/>
      <w:lvlText w:val="%1."/>
      <w:lvlJc w:val="left"/>
      <w:pPr>
        <w:tabs>
          <w:tab w:val="num" w:pos="567"/>
        </w:tabs>
        <w:ind w:left="567" w:hanging="567"/>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15:restartNumberingAfterBreak="0">
    <w:nsid w:val="0D1F12A4"/>
    <w:multiLevelType w:val="multilevel"/>
    <w:tmpl w:val="D42AFC0A"/>
    <w:lvl w:ilvl="0">
      <w:start w:val="1"/>
      <w:numFmt w:val="decimal"/>
      <w:lvlText w:val="%1"/>
      <w:lvlJc w:val="left"/>
      <w:pPr>
        <w:tabs>
          <w:tab w:val="num" w:pos="1134"/>
        </w:tabs>
        <w:ind w:left="1134" w:hanging="1134"/>
      </w:pPr>
      <w:rPr>
        <w:rFonts w:cs="Times New Roman" w:hint="default"/>
      </w:rPr>
    </w:lvl>
    <w:lvl w:ilvl="1">
      <w:start w:val="1"/>
      <w:numFmt w:val="decimal"/>
      <w:pStyle w:val="Heading2"/>
      <w:lvlText w:val="%1.%2"/>
      <w:lvlJc w:val="left"/>
      <w:pPr>
        <w:tabs>
          <w:tab w:val="num" w:pos="1134"/>
        </w:tabs>
        <w:ind w:left="1134" w:hanging="1134"/>
      </w:pPr>
      <w:rPr>
        <w:rFonts w:cs="Times New Roman" w:hint="default"/>
      </w:rPr>
    </w:lvl>
    <w:lvl w:ilvl="2">
      <w:start w:val="1"/>
      <w:numFmt w:val="lowerLetter"/>
      <w:pStyle w:val="Heading3"/>
      <w:lvlText w:val="%1.%2.%3"/>
      <w:lvlJc w:val="left"/>
      <w:pPr>
        <w:tabs>
          <w:tab w:val="num" w:pos="1701"/>
        </w:tabs>
        <w:ind w:left="1701" w:hanging="1134"/>
      </w:pPr>
      <w:rPr>
        <w:rFonts w:cs="Times New Roman" w:hint="default"/>
      </w:rPr>
    </w:lvl>
    <w:lvl w:ilvl="3">
      <w:start w:val="1"/>
      <w:numFmt w:val="decimal"/>
      <w:lvlText w:val="%1.%2.%3.%4"/>
      <w:lvlJc w:val="left"/>
      <w:pPr>
        <w:tabs>
          <w:tab w:val="num" w:pos="1134"/>
        </w:tabs>
        <w:ind w:left="1134"/>
      </w:pPr>
      <w:rPr>
        <w:rFonts w:cs="Times New Roman" w:hint="default"/>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268"/>
        </w:tabs>
        <w:ind w:left="2268" w:hanging="567"/>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6" w15:restartNumberingAfterBreak="0">
    <w:nsid w:val="17B069B6"/>
    <w:multiLevelType w:val="multilevel"/>
    <w:tmpl w:val="D42AFC0A"/>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lowerLetter"/>
      <w:lvlText w:val="%1.%2.%3"/>
      <w:lvlJc w:val="left"/>
      <w:pPr>
        <w:tabs>
          <w:tab w:val="num" w:pos="1701"/>
        </w:tabs>
        <w:ind w:left="1701" w:hanging="1134"/>
      </w:pPr>
      <w:rPr>
        <w:rFonts w:cs="Times New Roman" w:hint="default"/>
      </w:rPr>
    </w:lvl>
    <w:lvl w:ilvl="3">
      <w:start w:val="1"/>
      <w:numFmt w:val="decimal"/>
      <w:lvlText w:val="%1.%2.%3.%4"/>
      <w:lvlJc w:val="left"/>
      <w:pPr>
        <w:tabs>
          <w:tab w:val="num" w:pos="1134"/>
        </w:tabs>
        <w:ind w:left="1134"/>
      </w:pPr>
      <w:rPr>
        <w:rFonts w:cs="Times New Roman" w:hint="default"/>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268"/>
        </w:tabs>
        <w:ind w:left="2268" w:hanging="567"/>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15:restartNumberingAfterBreak="0">
    <w:nsid w:val="1B8B59F7"/>
    <w:multiLevelType w:val="multilevel"/>
    <w:tmpl w:val="4C12DAB2"/>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8" w15:restartNumberingAfterBreak="0">
    <w:nsid w:val="1DDA6FD8"/>
    <w:multiLevelType w:val="hybridMultilevel"/>
    <w:tmpl w:val="23D04D3A"/>
    <w:lvl w:ilvl="0" w:tplc="04090003">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E980662"/>
    <w:multiLevelType w:val="hybridMultilevel"/>
    <w:tmpl w:val="E74CD0AE"/>
    <w:lvl w:ilvl="0" w:tplc="58F2D4E0">
      <w:start w:val="1"/>
      <w:numFmt w:val="decimal"/>
      <w:pStyle w:val="Recommendations"/>
      <w:lvlText w:val="Recommendation %1."/>
      <w:lvlJc w:val="left"/>
      <w:pPr>
        <w:ind w:left="16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30401F"/>
    <w:multiLevelType w:val="hybridMultilevel"/>
    <w:tmpl w:val="96FCE3E4"/>
    <w:lvl w:ilvl="0" w:tplc="4CB8A3E2">
      <w:start w:val="1"/>
      <w:numFmt w:val="bullet"/>
      <w:pStyle w:val="doubleindent"/>
      <w:lvlText w:val="o"/>
      <w:lvlJc w:val="left"/>
      <w:pPr>
        <w:ind w:left="1287" w:hanging="360"/>
      </w:pPr>
      <w:rPr>
        <w:rFonts w:ascii="Courier New" w:hAnsi="Courier New" w:cs="Courier New" w:hint="default"/>
      </w:rPr>
    </w:lvl>
    <w:lvl w:ilvl="1" w:tplc="F4948316">
      <w:start w:val="1"/>
      <w:numFmt w:val="bullet"/>
      <w:lvlText w:val="o"/>
      <w:lvlJc w:val="left"/>
      <w:pPr>
        <w:tabs>
          <w:tab w:val="num" w:pos="2367"/>
        </w:tabs>
        <w:ind w:left="2367" w:hanging="360"/>
      </w:pPr>
      <w:rPr>
        <w:rFonts w:ascii="Courier New" w:hAnsi="Courier New" w:hint="default"/>
      </w:rPr>
    </w:lvl>
    <w:lvl w:ilvl="2" w:tplc="683AE3B4">
      <w:start w:val="1"/>
      <w:numFmt w:val="bullet"/>
      <w:lvlText w:val=""/>
      <w:lvlJc w:val="left"/>
      <w:pPr>
        <w:tabs>
          <w:tab w:val="num" w:pos="3087"/>
        </w:tabs>
        <w:ind w:left="3087" w:hanging="360"/>
      </w:pPr>
      <w:rPr>
        <w:rFonts w:ascii="Wingdings" w:hAnsi="Wingdings" w:hint="default"/>
      </w:rPr>
    </w:lvl>
    <w:lvl w:ilvl="3" w:tplc="1F487746">
      <w:start w:val="1"/>
      <w:numFmt w:val="bullet"/>
      <w:lvlText w:val=""/>
      <w:lvlJc w:val="left"/>
      <w:pPr>
        <w:tabs>
          <w:tab w:val="num" w:pos="3807"/>
        </w:tabs>
        <w:ind w:left="3807" w:hanging="360"/>
      </w:pPr>
      <w:rPr>
        <w:rFonts w:ascii="Symbol" w:hAnsi="Symbol" w:hint="default"/>
      </w:rPr>
    </w:lvl>
    <w:lvl w:ilvl="4" w:tplc="5484B34A">
      <w:start w:val="1"/>
      <w:numFmt w:val="bullet"/>
      <w:lvlText w:val="o"/>
      <w:lvlJc w:val="left"/>
      <w:pPr>
        <w:tabs>
          <w:tab w:val="num" w:pos="4527"/>
        </w:tabs>
        <w:ind w:left="4527" w:hanging="360"/>
      </w:pPr>
      <w:rPr>
        <w:rFonts w:ascii="Courier New" w:hAnsi="Courier New" w:hint="default"/>
      </w:rPr>
    </w:lvl>
    <w:lvl w:ilvl="5" w:tplc="9FBA46DE">
      <w:start w:val="1"/>
      <w:numFmt w:val="bullet"/>
      <w:lvlText w:val=""/>
      <w:lvlJc w:val="left"/>
      <w:pPr>
        <w:tabs>
          <w:tab w:val="num" w:pos="5247"/>
        </w:tabs>
        <w:ind w:left="5247" w:hanging="360"/>
      </w:pPr>
      <w:rPr>
        <w:rFonts w:ascii="Wingdings" w:hAnsi="Wingdings" w:hint="default"/>
      </w:rPr>
    </w:lvl>
    <w:lvl w:ilvl="6" w:tplc="34445DFE">
      <w:start w:val="1"/>
      <w:numFmt w:val="bullet"/>
      <w:lvlText w:val=""/>
      <w:lvlJc w:val="left"/>
      <w:pPr>
        <w:tabs>
          <w:tab w:val="num" w:pos="5967"/>
        </w:tabs>
        <w:ind w:left="5967" w:hanging="360"/>
      </w:pPr>
      <w:rPr>
        <w:rFonts w:ascii="Symbol" w:hAnsi="Symbol" w:hint="default"/>
      </w:rPr>
    </w:lvl>
    <w:lvl w:ilvl="7" w:tplc="4F780194">
      <w:start w:val="1"/>
      <w:numFmt w:val="bullet"/>
      <w:lvlText w:val="o"/>
      <w:lvlJc w:val="left"/>
      <w:pPr>
        <w:tabs>
          <w:tab w:val="num" w:pos="6687"/>
        </w:tabs>
        <w:ind w:left="6687" w:hanging="360"/>
      </w:pPr>
      <w:rPr>
        <w:rFonts w:ascii="Courier New" w:hAnsi="Courier New" w:hint="default"/>
      </w:rPr>
    </w:lvl>
    <w:lvl w:ilvl="8" w:tplc="FC20EF8A">
      <w:start w:val="1"/>
      <w:numFmt w:val="bullet"/>
      <w:lvlText w:val=""/>
      <w:lvlJc w:val="left"/>
      <w:pPr>
        <w:tabs>
          <w:tab w:val="num" w:pos="7407"/>
        </w:tabs>
        <w:ind w:left="7407" w:hanging="360"/>
      </w:pPr>
      <w:rPr>
        <w:rFonts w:ascii="Wingdings" w:hAnsi="Wingdings" w:hint="default"/>
      </w:rPr>
    </w:lvl>
  </w:abstractNum>
  <w:abstractNum w:abstractNumId="11" w15:restartNumberingAfterBreak="0">
    <w:nsid w:val="4279562F"/>
    <w:multiLevelType w:val="hybridMultilevel"/>
    <w:tmpl w:val="B386A372"/>
    <w:lvl w:ilvl="0" w:tplc="D4240E3A">
      <w:start w:val="1"/>
      <w:numFmt w:val="bullet"/>
      <w:pStyle w:val="boxedsummary"/>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7AA0E79"/>
    <w:multiLevelType w:val="hybridMultilevel"/>
    <w:tmpl w:val="DDF218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90F04C0"/>
    <w:multiLevelType w:val="hybridMultilevel"/>
    <w:tmpl w:val="80468D32"/>
    <w:lvl w:ilvl="0" w:tplc="204C4A54">
      <w:start w:val="1"/>
      <w:numFmt w:val="bullet"/>
      <w:pStyle w:val="Tableindent"/>
      <w:lvlText w:val=""/>
      <w:lvlJc w:val="left"/>
      <w:pPr>
        <w:tabs>
          <w:tab w:val="num" w:pos="1211"/>
        </w:tabs>
        <w:ind w:left="1211" w:hanging="284"/>
      </w:pPr>
      <w:rPr>
        <w:rFonts w:ascii="Symbol" w:hAnsi="Symbol" w:hint="default"/>
      </w:rPr>
    </w:lvl>
    <w:lvl w:ilvl="1" w:tplc="F4948316">
      <w:start w:val="1"/>
      <w:numFmt w:val="bullet"/>
      <w:lvlText w:val="o"/>
      <w:lvlJc w:val="left"/>
      <w:pPr>
        <w:tabs>
          <w:tab w:val="num" w:pos="2367"/>
        </w:tabs>
        <w:ind w:left="2367" w:hanging="360"/>
      </w:pPr>
      <w:rPr>
        <w:rFonts w:ascii="Courier New" w:hAnsi="Courier New" w:hint="default"/>
      </w:rPr>
    </w:lvl>
    <w:lvl w:ilvl="2" w:tplc="683AE3B4">
      <w:start w:val="1"/>
      <w:numFmt w:val="bullet"/>
      <w:lvlText w:val=""/>
      <w:lvlJc w:val="left"/>
      <w:pPr>
        <w:tabs>
          <w:tab w:val="num" w:pos="3087"/>
        </w:tabs>
        <w:ind w:left="3087" w:hanging="360"/>
      </w:pPr>
      <w:rPr>
        <w:rFonts w:ascii="Wingdings" w:hAnsi="Wingdings" w:hint="default"/>
      </w:rPr>
    </w:lvl>
    <w:lvl w:ilvl="3" w:tplc="1F487746">
      <w:start w:val="1"/>
      <w:numFmt w:val="bullet"/>
      <w:lvlText w:val=""/>
      <w:lvlJc w:val="left"/>
      <w:pPr>
        <w:tabs>
          <w:tab w:val="num" w:pos="3807"/>
        </w:tabs>
        <w:ind w:left="3807" w:hanging="360"/>
      </w:pPr>
      <w:rPr>
        <w:rFonts w:ascii="Symbol" w:hAnsi="Symbol" w:hint="default"/>
      </w:rPr>
    </w:lvl>
    <w:lvl w:ilvl="4" w:tplc="5484B34A">
      <w:start w:val="1"/>
      <w:numFmt w:val="bullet"/>
      <w:lvlText w:val="o"/>
      <w:lvlJc w:val="left"/>
      <w:pPr>
        <w:tabs>
          <w:tab w:val="num" w:pos="4527"/>
        </w:tabs>
        <w:ind w:left="4527" w:hanging="360"/>
      </w:pPr>
      <w:rPr>
        <w:rFonts w:ascii="Courier New" w:hAnsi="Courier New" w:hint="default"/>
      </w:rPr>
    </w:lvl>
    <w:lvl w:ilvl="5" w:tplc="9FBA46DE">
      <w:start w:val="1"/>
      <w:numFmt w:val="bullet"/>
      <w:lvlText w:val=""/>
      <w:lvlJc w:val="left"/>
      <w:pPr>
        <w:tabs>
          <w:tab w:val="num" w:pos="5247"/>
        </w:tabs>
        <w:ind w:left="5247" w:hanging="360"/>
      </w:pPr>
      <w:rPr>
        <w:rFonts w:ascii="Wingdings" w:hAnsi="Wingdings" w:hint="default"/>
      </w:rPr>
    </w:lvl>
    <w:lvl w:ilvl="6" w:tplc="34445DFE">
      <w:start w:val="1"/>
      <w:numFmt w:val="bullet"/>
      <w:lvlText w:val=""/>
      <w:lvlJc w:val="left"/>
      <w:pPr>
        <w:tabs>
          <w:tab w:val="num" w:pos="5967"/>
        </w:tabs>
        <w:ind w:left="5967" w:hanging="360"/>
      </w:pPr>
      <w:rPr>
        <w:rFonts w:ascii="Symbol" w:hAnsi="Symbol" w:hint="default"/>
      </w:rPr>
    </w:lvl>
    <w:lvl w:ilvl="7" w:tplc="4F780194">
      <w:start w:val="1"/>
      <w:numFmt w:val="bullet"/>
      <w:lvlText w:val="o"/>
      <w:lvlJc w:val="left"/>
      <w:pPr>
        <w:tabs>
          <w:tab w:val="num" w:pos="6687"/>
        </w:tabs>
        <w:ind w:left="6687" w:hanging="360"/>
      </w:pPr>
      <w:rPr>
        <w:rFonts w:ascii="Courier New" w:hAnsi="Courier New" w:hint="default"/>
      </w:rPr>
    </w:lvl>
    <w:lvl w:ilvl="8" w:tplc="FC20EF8A">
      <w:start w:val="1"/>
      <w:numFmt w:val="bullet"/>
      <w:lvlText w:val=""/>
      <w:lvlJc w:val="left"/>
      <w:pPr>
        <w:tabs>
          <w:tab w:val="num" w:pos="7407"/>
        </w:tabs>
        <w:ind w:left="7407" w:hanging="360"/>
      </w:pPr>
      <w:rPr>
        <w:rFonts w:ascii="Wingdings" w:hAnsi="Wingdings" w:hint="default"/>
      </w:rPr>
    </w:lvl>
  </w:abstractNum>
  <w:abstractNum w:abstractNumId="14" w15:restartNumberingAfterBreak="0">
    <w:nsid w:val="4E682094"/>
    <w:multiLevelType w:val="hybridMultilevel"/>
    <w:tmpl w:val="E5605A7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B244C02"/>
    <w:multiLevelType w:val="multilevel"/>
    <w:tmpl w:val="D42AFC0A"/>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lowerLetter"/>
      <w:lvlText w:val="%1.%2.%3"/>
      <w:lvlJc w:val="left"/>
      <w:pPr>
        <w:tabs>
          <w:tab w:val="num" w:pos="1701"/>
        </w:tabs>
        <w:ind w:left="1701" w:hanging="1134"/>
      </w:pPr>
      <w:rPr>
        <w:rFonts w:cs="Times New Roman" w:hint="default"/>
      </w:rPr>
    </w:lvl>
    <w:lvl w:ilvl="3">
      <w:start w:val="1"/>
      <w:numFmt w:val="decimal"/>
      <w:lvlText w:val="%1.%2.%3.%4"/>
      <w:lvlJc w:val="left"/>
      <w:pPr>
        <w:tabs>
          <w:tab w:val="num" w:pos="1134"/>
        </w:tabs>
        <w:ind w:left="1134"/>
      </w:pPr>
      <w:rPr>
        <w:rFonts w:cs="Times New Roman" w:hint="default"/>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268"/>
        </w:tabs>
        <w:ind w:left="2268" w:hanging="567"/>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6" w15:restartNumberingAfterBreak="0">
    <w:nsid w:val="5E577A96"/>
    <w:multiLevelType w:val="hybridMultilevel"/>
    <w:tmpl w:val="18CC92C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60DF04F2"/>
    <w:multiLevelType w:val="multilevel"/>
    <w:tmpl w:val="4F6AF740"/>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B51476B"/>
    <w:multiLevelType w:val="hybridMultilevel"/>
    <w:tmpl w:val="DB4EE034"/>
    <w:lvl w:ilvl="0" w:tplc="E42E71FE">
      <w:start w:val="1"/>
      <w:numFmt w:val="lowerLetter"/>
      <w:pStyle w:val="ESheadings"/>
      <w:lvlText w:val="(%1)"/>
      <w:lvlJc w:val="left"/>
      <w:pPr>
        <w:ind w:left="1854" w:hanging="360"/>
      </w:pPr>
      <w:rPr>
        <w:rFonts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15:restartNumberingAfterBreak="0">
    <w:nsid w:val="72FB4A94"/>
    <w:multiLevelType w:val="multilevel"/>
    <w:tmpl w:val="652A6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60031DE"/>
    <w:multiLevelType w:val="hybridMultilevel"/>
    <w:tmpl w:val="88DCC1A8"/>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5"/>
  </w:num>
  <w:num w:numId="3">
    <w:abstractNumId w:val="4"/>
  </w:num>
  <w:num w:numId="4">
    <w:abstractNumId w:val="13"/>
  </w:num>
  <w:num w:numId="5">
    <w:abstractNumId w:val="0"/>
  </w:num>
  <w:num w:numId="6">
    <w:abstractNumId w:val="0"/>
  </w:num>
  <w:num w:numId="7">
    <w:abstractNumId w:val="13"/>
  </w:num>
  <w:num w:numId="8">
    <w:abstractNumId w:val="19"/>
  </w:num>
  <w:num w:numId="9">
    <w:abstractNumId w:val="0"/>
  </w:num>
  <w:num w:numId="10">
    <w:abstractNumId w:val="5"/>
  </w:num>
  <w:num w:numId="11">
    <w:abstractNumId w:val="0"/>
  </w:num>
  <w:num w:numId="12">
    <w:abstractNumId w:val="1"/>
  </w:num>
  <w:num w:numId="13">
    <w:abstractNumId w:val="12"/>
  </w:num>
  <w:num w:numId="14">
    <w:abstractNumId w:val="20"/>
  </w:num>
  <w:num w:numId="15">
    <w:abstractNumId w:val="11"/>
  </w:num>
  <w:num w:numId="16">
    <w:abstractNumId w:val="16"/>
  </w:num>
  <w:num w:numId="17">
    <w:abstractNumId w:val="14"/>
  </w:num>
  <w:num w:numId="18">
    <w:abstractNumId w:val="8"/>
  </w:num>
  <w:num w:numId="19">
    <w:abstractNumId w:val="3"/>
  </w:num>
  <w:num w:numId="20">
    <w:abstractNumId w:val="6"/>
  </w:num>
  <w:num w:numId="21">
    <w:abstractNumId w:val="15"/>
  </w:num>
  <w:num w:numId="22">
    <w:abstractNumId w:val="0"/>
  </w:num>
  <w:num w:numId="23">
    <w:abstractNumId w:val="0"/>
  </w:num>
  <w:num w:numId="24">
    <w:abstractNumId w:val="18"/>
  </w:num>
  <w:num w:numId="25">
    <w:abstractNumId w:val="7"/>
  </w:num>
  <w:num w:numId="26">
    <w:abstractNumId w:val="9"/>
  </w:num>
  <w:num w:numId="27">
    <w:abstractNumId w:val="4"/>
    <w:lvlOverride w:ilvl="0">
      <w:startOverride w:val="1"/>
    </w:lvlOverride>
  </w:num>
  <w:num w:numId="28">
    <w:abstractNumId w:val="18"/>
  </w:num>
  <w:num w:numId="29">
    <w:abstractNumId w:val="2"/>
  </w:num>
  <w:num w:numId="30">
    <w:abstractNumId w:val="1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7E2"/>
    <w:rsid w:val="00000DDF"/>
    <w:rsid w:val="00000F46"/>
    <w:rsid w:val="00001986"/>
    <w:rsid w:val="000103B5"/>
    <w:rsid w:val="000116E9"/>
    <w:rsid w:val="0001380D"/>
    <w:rsid w:val="00015B4C"/>
    <w:rsid w:val="000302E9"/>
    <w:rsid w:val="000330BD"/>
    <w:rsid w:val="000339EE"/>
    <w:rsid w:val="000346C3"/>
    <w:rsid w:val="00035519"/>
    <w:rsid w:val="00037EAE"/>
    <w:rsid w:val="00040DBD"/>
    <w:rsid w:val="0004135C"/>
    <w:rsid w:val="00041A03"/>
    <w:rsid w:val="00042418"/>
    <w:rsid w:val="00043B67"/>
    <w:rsid w:val="00046CFB"/>
    <w:rsid w:val="00047317"/>
    <w:rsid w:val="00050054"/>
    <w:rsid w:val="00050A88"/>
    <w:rsid w:val="00051791"/>
    <w:rsid w:val="00051882"/>
    <w:rsid w:val="000525EE"/>
    <w:rsid w:val="00053D49"/>
    <w:rsid w:val="00055F5F"/>
    <w:rsid w:val="00057009"/>
    <w:rsid w:val="00057771"/>
    <w:rsid w:val="000602D9"/>
    <w:rsid w:val="00061362"/>
    <w:rsid w:val="00061BDD"/>
    <w:rsid w:val="000648CE"/>
    <w:rsid w:val="00065417"/>
    <w:rsid w:val="00065CEE"/>
    <w:rsid w:val="000708E2"/>
    <w:rsid w:val="00070F4A"/>
    <w:rsid w:val="0007102D"/>
    <w:rsid w:val="00073481"/>
    <w:rsid w:val="00074106"/>
    <w:rsid w:val="000752C7"/>
    <w:rsid w:val="000760A5"/>
    <w:rsid w:val="00077D03"/>
    <w:rsid w:val="00077F78"/>
    <w:rsid w:val="00085927"/>
    <w:rsid w:val="00087E55"/>
    <w:rsid w:val="000921EF"/>
    <w:rsid w:val="0009685A"/>
    <w:rsid w:val="000A2726"/>
    <w:rsid w:val="000A4C50"/>
    <w:rsid w:val="000B1548"/>
    <w:rsid w:val="000B251A"/>
    <w:rsid w:val="000B4B86"/>
    <w:rsid w:val="000B734A"/>
    <w:rsid w:val="000C0717"/>
    <w:rsid w:val="000C1BD4"/>
    <w:rsid w:val="000C39EE"/>
    <w:rsid w:val="000C502F"/>
    <w:rsid w:val="000D0A31"/>
    <w:rsid w:val="000D177C"/>
    <w:rsid w:val="000D3582"/>
    <w:rsid w:val="000D7B8C"/>
    <w:rsid w:val="000E07D9"/>
    <w:rsid w:val="000E1D3B"/>
    <w:rsid w:val="000E2B9F"/>
    <w:rsid w:val="000E3DD7"/>
    <w:rsid w:val="000E5555"/>
    <w:rsid w:val="000F2B79"/>
    <w:rsid w:val="000F499D"/>
    <w:rsid w:val="000F68ED"/>
    <w:rsid w:val="001000CE"/>
    <w:rsid w:val="001008F4"/>
    <w:rsid w:val="00101380"/>
    <w:rsid w:val="00105D13"/>
    <w:rsid w:val="00105FB5"/>
    <w:rsid w:val="001061E2"/>
    <w:rsid w:val="00107F7E"/>
    <w:rsid w:val="001107C7"/>
    <w:rsid w:val="00110A88"/>
    <w:rsid w:val="00113414"/>
    <w:rsid w:val="00115206"/>
    <w:rsid w:val="00123341"/>
    <w:rsid w:val="00132CF8"/>
    <w:rsid w:val="0013362D"/>
    <w:rsid w:val="00133972"/>
    <w:rsid w:val="00133B22"/>
    <w:rsid w:val="00133FD2"/>
    <w:rsid w:val="00135F03"/>
    <w:rsid w:val="00143466"/>
    <w:rsid w:val="001440A9"/>
    <w:rsid w:val="00144B25"/>
    <w:rsid w:val="001500F0"/>
    <w:rsid w:val="00150DFD"/>
    <w:rsid w:val="00152F1C"/>
    <w:rsid w:val="00152FD6"/>
    <w:rsid w:val="00153334"/>
    <w:rsid w:val="001546E3"/>
    <w:rsid w:val="00156FD2"/>
    <w:rsid w:val="00166EFC"/>
    <w:rsid w:val="0016728C"/>
    <w:rsid w:val="00171055"/>
    <w:rsid w:val="0017200B"/>
    <w:rsid w:val="00172158"/>
    <w:rsid w:val="00172A1C"/>
    <w:rsid w:val="00172EF0"/>
    <w:rsid w:val="00175044"/>
    <w:rsid w:val="00177808"/>
    <w:rsid w:val="0018003E"/>
    <w:rsid w:val="00183125"/>
    <w:rsid w:val="0018414E"/>
    <w:rsid w:val="00191EFD"/>
    <w:rsid w:val="00191FF8"/>
    <w:rsid w:val="00192231"/>
    <w:rsid w:val="001953CE"/>
    <w:rsid w:val="00196901"/>
    <w:rsid w:val="00197689"/>
    <w:rsid w:val="001A6958"/>
    <w:rsid w:val="001B0BD3"/>
    <w:rsid w:val="001C08A7"/>
    <w:rsid w:val="001C0FDA"/>
    <w:rsid w:val="001C216E"/>
    <w:rsid w:val="001C36B9"/>
    <w:rsid w:val="001C42CF"/>
    <w:rsid w:val="001C44D7"/>
    <w:rsid w:val="001C51B2"/>
    <w:rsid w:val="001C52D9"/>
    <w:rsid w:val="001D1969"/>
    <w:rsid w:val="001D3005"/>
    <w:rsid w:val="001D41A1"/>
    <w:rsid w:val="001D6FC3"/>
    <w:rsid w:val="001D77BD"/>
    <w:rsid w:val="001E3A35"/>
    <w:rsid w:val="001E4A00"/>
    <w:rsid w:val="001E507B"/>
    <w:rsid w:val="001E7611"/>
    <w:rsid w:val="001F1F2F"/>
    <w:rsid w:val="001F21D3"/>
    <w:rsid w:val="001F718E"/>
    <w:rsid w:val="00202EBB"/>
    <w:rsid w:val="00204913"/>
    <w:rsid w:val="00206265"/>
    <w:rsid w:val="002071C5"/>
    <w:rsid w:val="002105FE"/>
    <w:rsid w:val="00211D6B"/>
    <w:rsid w:val="00214D08"/>
    <w:rsid w:val="00214D4F"/>
    <w:rsid w:val="00216AA3"/>
    <w:rsid w:val="00220859"/>
    <w:rsid w:val="002209AE"/>
    <w:rsid w:val="00220E32"/>
    <w:rsid w:val="002218DE"/>
    <w:rsid w:val="0022533F"/>
    <w:rsid w:val="0022637B"/>
    <w:rsid w:val="00227B57"/>
    <w:rsid w:val="00233296"/>
    <w:rsid w:val="0023485F"/>
    <w:rsid w:val="00234FD2"/>
    <w:rsid w:val="00236057"/>
    <w:rsid w:val="00236CF4"/>
    <w:rsid w:val="00241D93"/>
    <w:rsid w:val="0024383B"/>
    <w:rsid w:val="00243986"/>
    <w:rsid w:val="00245977"/>
    <w:rsid w:val="00250842"/>
    <w:rsid w:val="0025357A"/>
    <w:rsid w:val="0025374E"/>
    <w:rsid w:val="00253C30"/>
    <w:rsid w:val="00257E8B"/>
    <w:rsid w:val="002601C6"/>
    <w:rsid w:val="002625DA"/>
    <w:rsid w:val="0026611B"/>
    <w:rsid w:val="00267AEE"/>
    <w:rsid w:val="0027250C"/>
    <w:rsid w:val="00272CF4"/>
    <w:rsid w:val="00277997"/>
    <w:rsid w:val="002829AF"/>
    <w:rsid w:val="00282F14"/>
    <w:rsid w:val="0028559F"/>
    <w:rsid w:val="00290EEE"/>
    <w:rsid w:val="002917F2"/>
    <w:rsid w:val="00291B18"/>
    <w:rsid w:val="002920F2"/>
    <w:rsid w:val="002948D0"/>
    <w:rsid w:val="00294921"/>
    <w:rsid w:val="002B097E"/>
    <w:rsid w:val="002B1BF9"/>
    <w:rsid w:val="002B2B23"/>
    <w:rsid w:val="002B2E02"/>
    <w:rsid w:val="002B4C59"/>
    <w:rsid w:val="002B5576"/>
    <w:rsid w:val="002B56A1"/>
    <w:rsid w:val="002B6E3A"/>
    <w:rsid w:val="002C12E8"/>
    <w:rsid w:val="002C38BA"/>
    <w:rsid w:val="002C4235"/>
    <w:rsid w:val="002C4564"/>
    <w:rsid w:val="002C534E"/>
    <w:rsid w:val="002C5E15"/>
    <w:rsid w:val="002C6ABB"/>
    <w:rsid w:val="002D37E8"/>
    <w:rsid w:val="002D7622"/>
    <w:rsid w:val="002E089F"/>
    <w:rsid w:val="002E1674"/>
    <w:rsid w:val="002E5122"/>
    <w:rsid w:val="002F2A7A"/>
    <w:rsid w:val="002F2C06"/>
    <w:rsid w:val="002F3258"/>
    <w:rsid w:val="002F3F03"/>
    <w:rsid w:val="00300AAD"/>
    <w:rsid w:val="00304C2B"/>
    <w:rsid w:val="003071CF"/>
    <w:rsid w:val="0030757D"/>
    <w:rsid w:val="0031420B"/>
    <w:rsid w:val="00314DDE"/>
    <w:rsid w:val="0031669C"/>
    <w:rsid w:val="003200D7"/>
    <w:rsid w:val="00320232"/>
    <w:rsid w:val="00320CD7"/>
    <w:rsid w:val="003212DB"/>
    <w:rsid w:val="003276DA"/>
    <w:rsid w:val="00327A8C"/>
    <w:rsid w:val="00327D7C"/>
    <w:rsid w:val="003317DA"/>
    <w:rsid w:val="00333898"/>
    <w:rsid w:val="0033658A"/>
    <w:rsid w:val="00337181"/>
    <w:rsid w:val="0034174A"/>
    <w:rsid w:val="00344FF3"/>
    <w:rsid w:val="00347E71"/>
    <w:rsid w:val="003500FC"/>
    <w:rsid w:val="003500FD"/>
    <w:rsid w:val="00352EA2"/>
    <w:rsid w:val="0035331B"/>
    <w:rsid w:val="00356E76"/>
    <w:rsid w:val="003574CA"/>
    <w:rsid w:val="00361E08"/>
    <w:rsid w:val="003638C0"/>
    <w:rsid w:val="0036400E"/>
    <w:rsid w:val="00366387"/>
    <w:rsid w:val="00366549"/>
    <w:rsid w:val="00366998"/>
    <w:rsid w:val="00366B81"/>
    <w:rsid w:val="00367683"/>
    <w:rsid w:val="0037021C"/>
    <w:rsid w:val="0037684B"/>
    <w:rsid w:val="00377A1C"/>
    <w:rsid w:val="00383DBA"/>
    <w:rsid w:val="0038652B"/>
    <w:rsid w:val="00386793"/>
    <w:rsid w:val="003875A9"/>
    <w:rsid w:val="00387C29"/>
    <w:rsid w:val="00387F3D"/>
    <w:rsid w:val="0039061E"/>
    <w:rsid w:val="00391A6E"/>
    <w:rsid w:val="003921FF"/>
    <w:rsid w:val="00393CBA"/>
    <w:rsid w:val="00393D5F"/>
    <w:rsid w:val="00395448"/>
    <w:rsid w:val="00397B79"/>
    <w:rsid w:val="003A0328"/>
    <w:rsid w:val="003A139C"/>
    <w:rsid w:val="003A2394"/>
    <w:rsid w:val="003A3F67"/>
    <w:rsid w:val="003A6C4C"/>
    <w:rsid w:val="003B7670"/>
    <w:rsid w:val="003B7FF8"/>
    <w:rsid w:val="003C4E96"/>
    <w:rsid w:val="003C4FCB"/>
    <w:rsid w:val="003C7231"/>
    <w:rsid w:val="003D0DEA"/>
    <w:rsid w:val="003D0F66"/>
    <w:rsid w:val="003D11B7"/>
    <w:rsid w:val="003D2331"/>
    <w:rsid w:val="003D3762"/>
    <w:rsid w:val="003D6ADB"/>
    <w:rsid w:val="003D6CFA"/>
    <w:rsid w:val="003E216A"/>
    <w:rsid w:val="003E5F04"/>
    <w:rsid w:val="003E78A4"/>
    <w:rsid w:val="003E79CF"/>
    <w:rsid w:val="003E7B6E"/>
    <w:rsid w:val="003F17E9"/>
    <w:rsid w:val="003F2890"/>
    <w:rsid w:val="003F3B8B"/>
    <w:rsid w:val="003F5E8B"/>
    <w:rsid w:val="003F667C"/>
    <w:rsid w:val="004003B6"/>
    <w:rsid w:val="004005B6"/>
    <w:rsid w:val="00400CB4"/>
    <w:rsid w:val="00404DDC"/>
    <w:rsid w:val="004050B8"/>
    <w:rsid w:val="00405462"/>
    <w:rsid w:val="00405AB8"/>
    <w:rsid w:val="004063A2"/>
    <w:rsid w:val="004067F4"/>
    <w:rsid w:val="00410457"/>
    <w:rsid w:val="00413869"/>
    <w:rsid w:val="00413DD3"/>
    <w:rsid w:val="004144D4"/>
    <w:rsid w:val="00420BF9"/>
    <w:rsid w:val="00423CC8"/>
    <w:rsid w:val="0042576C"/>
    <w:rsid w:val="00427EEC"/>
    <w:rsid w:val="0043046F"/>
    <w:rsid w:val="00432740"/>
    <w:rsid w:val="00432C87"/>
    <w:rsid w:val="00437E5A"/>
    <w:rsid w:val="00442DD6"/>
    <w:rsid w:val="00444433"/>
    <w:rsid w:val="00451143"/>
    <w:rsid w:val="00452E2D"/>
    <w:rsid w:val="0046004F"/>
    <w:rsid w:val="00461678"/>
    <w:rsid w:val="00466F3C"/>
    <w:rsid w:val="00473E2F"/>
    <w:rsid w:val="00475957"/>
    <w:rsid w:val="00476D61"/>
    <w:rsid w:val="00477368"/>
    <w:rsid w:val="00477C9E"/>
    <w:rsid w:val="004807F7"/>
    <w:rsid w:val="00481B34"/>
    <w:rsid w:val="00483A00"/>
    <w:rsid w:val="0048721D"/>
    <w:rsid w:val="0049282D"/>
    <w:rsid w:val="00495DCD"/>
    <w:rsid w:val="004A2D94"/>
    <w:rsid w:val="004A56D6"/>
    <w:rsid w:val="004A7B57"/>
    <w:rsid w:val="004B0C87"/>
    <w:rsid w:val="004B27FC"/>
    <w:rsid w:val="004B303B"/>
    <w:rsid w:val="004B5227"/>
    <w:rsid w:val="004B5535"/>
    <w:rsid w:val="004C0918"/>
    <w:rsid w:val="004C29FC"/>
    <w:rsid w:val="004C472F"/>
    <w:rsid w:val="004D09F8"/>
    <w:rsid w:val="004D5C19"/>
    <w:rsid w:val="004D77A4"/>
    <w:rsid w:val="004D7D8A"/>
    <w:rsid w:val="004E4451"/>
    <w:rsid w:val="004E47BE"/>
    <w:rsid w:val="004F24A2"/>
    <w:rsid w:val="004F2788"/>
    <w:rsid w:val="004F3B52"/>
    <w:rsid w:val="004F683F"/>
    <w:rsid w:val="004F7117"/>
    <w:rsid w:val="00503BB6"/>
    <w:rsid w:val="00506BE7"/>
    <w:rsid w:val="00507B19"/>
    <w:rsid w:val="005110AA"/>
    <w:rsid w:val="0051179A"/>
    <w:rsid w:val="00520801"/>
    <w:rsid w:val="00520BC1"/>
    <w:rsid w:val="005220DF"/>
    <w:rsid w:val="0052446F"/>
    <w:rsid w:val="0052510E"/>
    <w:rsid w:val="00526E63"/>
    <w:rsid w:val="00534704"/>
    <w:rsid w:val="005348F2"/>
    <w:rsid w:val="005349A7"/>
    <w:rsid w:val="005353B5"/>
    <w:rsid w:val="00540879"/>
    <w:rsid w:val="00543F42"/>
    <w:rsid w:val="005445D9"/>
    <w:rsid w:val="00550D47"/>
    <w:rsid w:val="00553942"/>
    <w:rsid w:val="005539B8"/>
    <w:rsid w:val="00554CAF"/>
    <w:rsid w:val="00555BAC"/>
    <w:rsid w:val="00556597"/>
    <w:rsid w:val="00563F63"/>
    <w:rsid w:val="00564448"/>
    <w:rsid w:val="00570516"/>
    <w:rsid w:val="00575C34"/>
    <w:rsid w:val="00575DB9"/>
    <w:rsid w:val="005813CC"/>
    <w:rsid w:val="0058699D"/>
    <w:rsid w:val="0059272F"/>
    <w:rsid w:val="00594851"/>
    <w:rsid w:val="00595AB0"/>
    <w:rsid w:val="00596260"/>
    <w:rsid w:val="005966D4"/>
    <w:rsid w:val="00597081"/>
    <w:rsid w:val="0059798B"/>
    <w:rsid w:val="005A0892"/>
    <w:rsid w:val="005A2A2B"/>
    <w:rsid w:val="005A3043"/>
    <w:rsid w:val="005A4EDE"/>
    <w:rsid w:val="005A5BEC"/>
    <w:rsid w:val="005B1AB3"/>
    <w:rsid w:val="005B57E9"/>
    <w:rsid w:val="005B6B90"/>
    <w:rsid w:val="005C074D"/>
    <w:rsid w:val="005C0E45"/>
    <w:rsid w:val="005C434F"/>
    <w:rsid w:val="005C54DF"/>
    <w:rsid w:val="005C58CA"/>
    <w:rsid w:val="005C5A4F"/>
    <w:rsid w:val="005C627F"/>
    <w:rsid w:val="005C66B1"/>
    <w:rsid w:val="005D0EC9"/>
    <w:rsid w:val="005D5A7E"/>
    <w:rsid w:val="005E0BD5"/>
    <w:rsid w:val="005F45F8"/>
    <w:rsid w:val="005F54B5"/>
    <w:rsid w:val="005F668D"/>
    <w:rsid w:val="005F6A7C"/>
    <w:rsid w:val="00600E8E"/>
    <w:rsid w:val="006044A9"/>
    <w:rsid w:val="00606AF4"/>
    <w:rsid w:val="00607518"/>
    <w:rsid w:val="0061101F"/>
    <w:rsid w:val="006112C6"/>
    <w:rsid w:val="00611617"/>
    <w:rsid w:val="006122F0"/>
    <w:rsid w:val="0061651F"/>
    <w:rsid w:val="00622081"/>
    <w:rsid w:val="00623753"/>
    <w:rsid w:val="006243EB"/>
    <w:rsid w:val="00627DAD"/>
    <w:rsid w:val="00630AFD"/>
    <w:rsid w:val="00631069"/>
    <w:rsid w:val="00633616"/>
    <w:rsid w:val="006339A8"/>
    <w:rsid w:val="00635DA2"/>
    <w:rsid w:val="00636D6A"/>
    <w:rsid w:val="00640A87"/>
    <w:rsid w:val="0064329B"/>
    <w:rsid w:val="00643BB9"/>
    <w:rsid w:val="00644BF1"/>
    <w:rsid w:val="00644F9F"/>
    <w:rsid w:val="00646A5E"/>
    <w:rsid w:val="00651013"/>
    <w:rsid w:val="00651368"/>
    <w:rsid w:val="00651D87"/>
    <w:rsid w:val="006524E0"/>
    <w:rsid w:val="00652BEA"/>
    <w:rsid w:val="00663C6A"/>
    <w:rsid w:val="00665BED"/>
    <w:rsid w:val="00666104"/>
    <w:rsid w:val="006664A9"/>
    <w:rsid w:val="0067169E"/>
    <w:rsid w:val="00681183"/>
    <w:rsid w:val="00683B3E"/>
    <w:rsid w:val="00683EAF"/>
    <w:rsid w:val="00685076"/>
    <w:rsid w:val="00686314"/>
    <w:rsid w:val="00686B85"/>
    <w:rsid w:val="0068785A"/>
    <w:rsid w:val="00687FB1"/>
    <w:rsid w:val="006909D4"/>
    <w:rsid w:val="00690DAA"/>
    <w:rsid w:val="00692CD4"/>
    <w:rsid w:val="00692DAD"/>
    <w:rsid w:val="006933FB"/>
    <w:rsid w:val="00694532"/>
    <w:rsid w:val="006948DD"/>
    <w:rsid w:val="00694D20"/>
    <w:rsid w:val="00694E52"/>
    <w:rsid w:val="006A16D4"/>
    <w:rsid w:val="006A6CD9"/>
    <w:rsid w:val="006B1341"/>
    <w:rsid w:val="006B1A6A"/>
    <w:rsid w:val="006B1FEF"/>
    <w:rsid w:val="006B3ABC"/>
    <w:rsid w:val="006C18E2"/>
    <w:rsid w:val="006C1A83"/>
    <w:rsid w:val="006C3DFF"/>
    <w:rsid w:val="006C4596"/>
    <w:rsid w:val="006D069B"/>
    <w:rsid w:val="006D134F"/>
    <w:rsid w:val="006D20EC"/>
    <w:rsid w:val="006D2834"/>
    <w:rsid w:val="006D2E7C"/>
    <w:rsid w:val="006D4C58"/>
    <w:rsid w:val="006D5EEC"/>
    <w:rsid w:val="006D6B6D"/>
    <w:rsid w:val="006E12E7"/>
    <w:rsid w:val="006E1EB4"/>
    <w:rsid w:val="006E3644"/>
    <w:rsid w:val="006E479D"/>
    <w:rsid w:val="006E6F8B"/>
    <w:rsid w:val="006F1ED2"/>
    <w:rsid w:val="006F37A3"/>
    <w:rsid w:val="006F4CFD"/>
    <w:rsid w:val="006F6F6E"/>
    <w:rsid w:val="006F741B"/>
    <w:rsid w:val="0070214A"/>
    <w:rsid w:val="00703D21"/>
    <w:rsid w:val="007045BE"/>
    <w:rsid w:val="00705F98"/>
    <w:rsid w:val="00710AC2"/>
    <w:rsid w:val="007132D3"/>
    <w:rsid w:val="0071450E"/>
    <w:rsid w:val="00714ECC"/>
    <w:rsid w:val="0071759A"/>
    <w:rsid w:val="00722F4D"/>
    <w:rsid w:val="00723CDF"/>
    <w:rsid w:val="0072478D"/>
    <w:rsid w:val="007247EF"/>
    <w:rsid w:val="00724A44"/>
    <w:rsid w:val="00725E5D"/>
    <w:rsid w:val="007262DC"/>
    <w:rsid w:val="00726470"/>
    <w:rsid w:val="00730775"/>
    <w:rsid w:val="007313BD"/>
    <w:rsid w:val="00734483"/>
    <w:rsid w:val="00735384"/>
    <w:rsid w:val="00735C2C"/>
    <w:rsid w:val="00737BFE"/>
    <w:rsid w:val="0074015A"/>
    <w:rsid w:val="00740C8B"/>
    <w:rsid w:val="00741D79"/>
    <w:rsid w:val="007446A4"/>
    <w:rsid w:val="00744A08"/>
    <w:rsid w:val="00745278"/>
    <w:rsid w:val="00745722"/>
    <w:rsid w:val="00746D1A"/>
    <w:rsid w:val="00752E18"/>
    <w:rsid w:val="00756FB2"/>
    <w:rsid w:val="0075740B"/>
    <w:rsid w:val="00760F62"/>
    <w:rsid w:val="00762921"/>
    <w:rsid w:val="0076501C"/>
    <w:rsid w:val="007657A3"/>
    <w:rsid w:val="00766E34"/>
    <w:rsid w:val="00770939"/>
    <w:rsid w:val="00770BFE"/>
    <w:rsid w:val="00771BFA"/>
    <w:rsid w:val="00774F44"/>
    <w:rsid w:val="00775380"/>
    <w:rsid w:val="0077582D"/>
    <w:rsid w:val="007771BA"/>
    <w:rsid w:val="00782777"/>
    <w:rsid w:val="0078751A"/>
    <w:rsid w:val="0078773F"/>
    <w:rsid w:val="00791C48"/>
    <w:rsid w:val="007942CC"/>
    <w:rsid w:val="00797A0B"/>
    <w:rsid w:val="007A0079"/>
    <w:rsid w:val="007A347B"/>
    <w:rsid w:val="007A358D"/>
    <w:rsid w:val="007A6B39"/>
    <w:rsid w:val="007B3038"/>
    <w:rsid w:val="007B7E09"/>
    <w:rsid w:val="007C5A66"/>
    <w:rsid w:val="007C5F7D"/>
    <w:rsid w:val="007C6A80"/>
    <w:rsid w:val="007D0D23"/>
    <w:rsid w:val="007D1309"/>
    <w:rsid w:val="007D2950"/>
    <w:rsid w:val="007D38E9"/>
    <w:rsid w:val="007D6014"/>
    <w:rsid w:val="007E215F"/>
    <w:rsid w:val="007E2DE9"/>
    <w:rsid w:val="007E501E"/>
    <w:rsid w:val="007E5577"/>
    <w:rsid w:val="007F0452"/>
    <w:rsid w:val="007F0D13"/>
    <w:rsid w:val="007F11A5"/>
    <w:rsid w:val="007F7EFD"/>
    <w:rsid w:val="00801C73"/>
    <w:rsid w:val="00804015"/>
    <w:rsid w:val="00805368"/>
    <w:rsid w:val="008078D5"/>
    <w:rsid w:val="008145BA"/>
    <w:rsid w:val="00815352"/>
    <w:rsid w:val="0082001D"/>
    <w:rsid w:val="0082045B"/>
    <w:rsid w:val="00820C90"/>
    <w:rsid w:val="0082298E"/>
    <w:rsid w:val="00822E5D"/>
    <w:rsid w:val="00823076"/>
    <w:rsid w:val="00825E7A"/>
    <w:rsid w:val="00825E91"/>
    <w:rsid w:val="00827F05"/>
    <w:rsid w:val="00831EE2"/>
    <w:rsid w:val="008342DF"/>
    <w:rsid w:val="00834D11"/>
    <w:rsid w:val="00835A5C"/>
    <w:rsid w:val="00836CA4"/>
    <w:rsid w:val="00842B9C"/>
    <w:rsid w:val="0084554B"/>
    <w:rsid w:val="0084682D"/>
    <w:rsid w:val="008468DC"/>
    <w:rsid w:val="00847211"/>
    <w:rsid w:val="0084745A"/>
    <w:rsid w:val="00851068"/>
    <w:rsid w:val="008515D3"/>
    <w:rsid w:val="00853768"/>
    <w:rsid w:val="00854603"/>
    <w:rsid w:val="00854EA3"/>
    <w:rsid w:val="00856535"/>
    <w:rsid w:val="00861E5F"/>
    <w:rsid w:val="0086376D"/>
    <w:rsid w:val="0086403C"/>
    <w:rsid w:val="008674CF"/>
    <w:rsid w:val="0086750D"/>
    <w:rsid w:val="00875551"/>
    <w:rsid w:val="008775C3"/>
    <w:rsid w:val="00880BC9"/>
    <w:rsid w:val="00882237"/>
    <w:rsid w:val="008850A7"/>
    <w:rsid w:val="00885D36"/>
    <w:rsid w:val="00895316"/>
    <w:rsid w:val="008978C9"/>
    <w:rsid w:val="008A063B"/>
    <w:rsid w:val="008A1460"/>
    <w:rsid w:val="008A2561"/>
    <w:rsid w:val="008A2A97"/>
    <w:rsid w:val="008A4C73"/>
    <w:rsid w:val="008B12AA"/>
    <w:rsid w:val="008B4D6D"/>
    <w:rsid w:val="008B5448"/>
    <w:rsid w:val="008C0B51"/>
    <w:rsid w:val="008C7550"/>
    <w:rsid w:val="008C755A"/>
    <w:rsid w:val="008D2B17"/>
    <w:rsid w:val="008D4400"/>
    <w:rsid w:val="008E08B4"/>
    <w:rsid w:val="008E6421"/>
    <w:rsid w:val="008E6F23"/>
    <w:rsid w:val="008F1CF8"/>
    <w:rsid w:val="008F4D9B"/>
    <w:rsid w:val="008F60A2"/>
    <w:rsid w:val="008F62F6"/>
    <w:rsid w:val="0090001C"/>
    <w:rsid w:val="00900EE2"/>
    <w:rsid w:val="0090229C"/>
    <w:rsid w:val="00904B7C"/>
    <w:rsid w:val="0090605C"/>
    <w:rsid w:val="00906681"/>
    <w:rsid w:val="0090794F"/>
    <w:rsid w:val="00910C11"/>
    <w:rsid w:val="00910D75"/>
    <w:rsid w:val="009116FC"/>
    <w:rsid w:val="00911FF6"/>
    <w:rsid w:val="00913509"/>
    <w:rsid w:val="00913D00"/>
    <w:rsid w:val="00913DC2"/>
    <w:rsid w:val="009156AD"/>
    <w:rsid w:val="009168E0"/>
    <w:rsid w:val="00917A17"/>
    <w:rsid w:val="009202B9"/>
    <w:rsid w:val="009216B6"/>
    <w:rsid w:val="00921AC6"/>
    <w:rsid w:val="00921D93"/>
    <w:rsid w:val="009236B8"/>
    <w:rsid w:val="00924701"/>
    <w:rsid w:val="00924E12"/>
    <w:rsid w:val="00926690"/>
    <w:rsid w:val="00926997"/>
    <w:rsid w:val="00932E8D"/>
    <w:rsid w:val="009341ED"/>
    <w:rsid w:val="00934244"/>
    <w:rsid w:val="00935328"/>
    <w:rsid w:val="00935AF6"/>
    <w:rsid w:val="0094104D"/>
    <w:rsid w:val="00942ABC"/>
    <w:rsid w:val="00942FF2"/>
    <w:rsid w:val="0094545C"/>
    <w:rsid w:val="00946E3B"/>
    <w:rsid w:val="0094707E"/>
    <w:rsid w:val="00953BC0"/>
    <w:rsid w:val="00954061"/>
    <w:rsid w:val="009548AC"/>
    <w:rsid w:val="00955F67"/>
    <w:rsid w:val="00961D3B"/>
    <w:rsid w:val="00966FA5"/>
    <w:rsid w:val="00967064"/>
    <w:rsid w:val="009675A8"/>
    <w:rsid w:val="00967D41"/>
    <w:rsid w:val="00971632"/>
    <w:rsid w:val="00976B49"/>
    <w:rsid w:val="009804D6"/>
    <w:rsid w:val="009816CB"/>
    <w:rsid w:val="00982B40"/>
    <w:rsid w:val="009838AA"/>
    <w:rsid w:val="00984003"/>
    <w:rsid w:val="00986E28"/>
    <w:rsid w:val="00987D5D"/>
    <w:rsid w:val="00990977"/>
    <w:rsid w:val="009919ED"/>
    <w:rsid w:val="00993F97"/>
    <w:rsid w:val="00996B3C"/>
    <w:rsid w:val="009973C2"/>
    <w:rsid w:val="009A0B2E"/>
    <w:rsid w:val="009A2919"/>
    <w:rsid w:val="009A2A70"/>
    <w:rsid w:val="009A43B8"/>
    <w:rsid w:val="009A455D"/>
    <w:rsid w:val="009A7F09"/>
    <w:rsid w:val="009B104A"/>
    <w:rsid w:val="009B1404"/>
    <w:rsid w:val="009B3133"/>
    <w:rsid w:val="009B509C"/>
    <w:rsid w:val="009C3362"/>
    <w:rsid w:val="009C34F9"/>
    <w:rsid w:val="009C47CE"/>
    <w:rsid w:val="009C562D"/>
    <w:rsid w:val="009C6CD9"/>
    <w:rsid w:val="009C6EDB"/>
    <w:rsid w:val="009C7EC3"/>
    <w:rsid w:val="009D3356"/>
    <w:rsid w:val="009D4113"/>
    <w:rsid w:val="009D42D9"/>
    <w:rsid w:val="009D7A70"/>
    <w:rsid w:val="009E4270"/>
    <w:rsid w:val="009F0026"/>
    <w:rsid w:val="009F7CA8"/>
    <w:rsid w:val="00A00CBB"/>
    <w:rsid w:val="00A0208F"/>
    <w:rsid w:val="00A02F05"/>
    <w:rsid w:val="00A0349D"/>
    <w:rsid w:val="00A10463"/>
    <w:rsid w:val="00A14AD3"/>
    <w:rsid w:val="00A16AC0"/>
    <w:rsid w:val="00A2103F"/>
    <w:rsid w:val="00A21E76"/>
    <w:rsid w:val="00A226C7"/>
    <w:rsid w:val="00A23DBF"/>
    <w:rsid w:val="00A243F2"/>
    <w:rsid w:val="00A32093"/>
    <w:rsid w:val="00A32224"/>
    <w:rsid w:val="00A33B79"/>
    <w:rsid w:val="00A34EAD"/>
    <w:rsid w:val="00A409AD"/>
    <w:rsid w:val="00A41A6B"/>
    <w:rsid w:val="00A44434"/>
    <w:rsid w:val="00A45ECB"/>
    <w:rsid w:val="00A46FCA"/>
    <w:rsid w:val="00A501BD"/>
    <w:rsid w:val="00A5226F"/>
    <w:rsid w:val="00A566DA"/>
    <w:rsid w:val="00A5705B"/>
    <w:rsid w:val="00A57AFD"/>
    <w:rsid w:val="00A65C52"/>
    <w:rsid w:val="00A6708E"/>
    <w:rsid w:val="00A67477"/>
    <w:rsid w:val="00A7002E"/>
    <w:rsid w:val="00A70FF8"/>
    <w:rsid w:val="00A73494"/>
    <w:rsid w:val="00A7533A"/>
    <w:rsid w:val="00A8044B"/>
    <w:rsid w:val="00A83B74"/>
    <w:rsid w:val="00A87DE3"/>
    <w:rsid w:val="00A90EB3"/>
    <w:rsid w:val="00A9122E"/>
    <w:rsid w:val="00A94996"/>
    <w:rsid w:val="00A9699A"/>
    <w:rsid w:val="00A96B2E"/>
    <w:rsid w:val="00A978BF"/>
    <w:rsid w:val="00AA4EA7"/>
    <w:rsid w:val="00AA5110"/>
    <w:rsid w:val="00AA7485"/>
    <w:rsid w:val="00AB0B45"/>
    <w:rsid w:val="00AB4FD8"/>
    <w:rsid w:val="00AB65C8"/>
    <w:rsid w:val="00AB6986"/>
    <w:rsid w:val="00AC0430"/>
    <w:rsid w:val="00AC05BF"/>
    <w:rsid w:val="00AC0ADE"/>
    <w:rsid w:val="00AC6457"/>
    <w:rsid w:val="00AC7BE2"/>
    <w:rsid w:val="00AD132D"/>
    <w:rsid w:val="00AD250D"/>
    <w:rsid w:val="00AD31A6"/>
    <w:rsid w:val="00AD33E8"/>
    <w:rsid w:val="00AD6633"/>
    <w:rsid w:val="00AD692C"/>
    <w:rsid w:val="00AD7EAC"/>
    <w:rsid w:val="00AE0660"/>
    <w:rsid w:val="00AE2BC4"/>
    <w:rsid w:val="00AE2EF6"/>
    <w:rsid w:val="00AE54D7"/>
    <w:rsid w:val="00AF2EAF"/>
    <w:rsid w:val="00AF4FFF"/>
    <w:rsid w:val="00B02AC0"/>
    <w:rsid w:val="00B02B3D"/>
    <w:rsid w:val="00B05636"/>
    <w:rsid w:val="00B105A4"/>
    <w:rsid w:val="00B111D7"/>
    <w:rsid w:val="00B11413"/>
    <w:rsid w:val="00B1173C"/>
    <w:rsid w:val="00B12271"/>
    <w:rsid w:val="00B13399"/>
    <w:rsid w:val="00B17462"/>
    <w:rsid w:val="00B24477"/>
    <w:rsid w:val="00B24575"/>
    <w:rsid w:val="00B25BDD"/>
    <w:rsid w:val="00B2635F"/>
    <w:rsid w:val="00B30D3C"/>
    <w:rsid w:val="00B41C51"/>
    <w:rsid w:val="00B45702"/>
    <w:rsid w:val="00B50E89"/>
    <w:rsid w:val="00B510C7"/>
    <w:rsid w:val="00B5441A"/>
    <w:rsid w:val="00B554E7"/>
    <w:rsid w:val="00B557C2"/>
    <w:rsid w:val="00B57853"/>
    <w:rsid w:val="00B60B22"/>
    <w:rsid w:val="00B62BF7"/>
    <w:rsid w:val="00B63253"/>
    <w:rsid w:val="00B65940"/>
    <w:rsid w:val="00B7144E"/>
    <w:rsid w:val="00B71845"/>
    <w:rsid w:val="00B7292B"/>
    <w:rsid w:val="00B755FD"/>
    <w:rsid w:val="00B77905"/>
    <w:rsid w:val="00B8008C"/>
    <w:rsid w:val="00B85360"/>
    <w:rsid w:val="00B85D76"/>
    <w:rsid w:val="00B906D4"/>
    <w:rsid w:val="00B92DBE"/>
    <w:rsid w:val="00B9434F"/>
    <w:rsid w:val="00B95C08"/>
    <w:rsid w:val="00BA4785"/>
    <w:rsid w:val="00BA57AB"/>
    <w:rsid w:val="00BA7FAB"/>
    <w:rsid w:val="00BB101A"/>
    <w:rsid w:val="00BB577B"/>
    <w:rsid w:val="00BC0159"/>
    <w:rsid w:val="00BC02BE"/>
    <w:rsid w:val="00BC62FB"/>
    <w:rsid w:val="00BC7AB8"/>
    <w:rsid w:val="00BD039A"/>
    <w:rsid w:val="00BD0C24"/>
    <w:rsid w:val="00BD1CBF"/>
    <w:rsid w:val="00BD2F00"/>
    <w:rsid w:val="00BD3C43"/>
    <w:rsid w:val="00BD4B02"/>
    <w:rsid w:val="00BD65CF"/>
    <w:rsid w:val="00BD6BEA"/>
    <w:rsid w:val="00BE262B"/>
    <w:rsid w:val="00BE2819"/>
    <w:rsid w:val="00BE5F5A"/>
    <w:rsid w:val="00BF0516"/>
    <w:rsid w:val="00BF342E"/>
    <w:rsid w:val="00BF35B9"/>
    <w:rsid w:val="00BF4772"/>
    <w:rsid w:val="00BF48C1"/>
    <w:rsid w:val="00C0109A"/>
    <w:rsid w:val="00C032DE"/>
    <w:rsid w:val="00C0600C"/>
    <w:rsid w:val="00C0670F"/>
    <w:rsid w:val="00C072C6"/>
    <w:rsid w:val="00C074BD"/>
    <w:rsid w:val="00C0758C"/>
    <w:rsid w:val="00C1141A"/>
    <w:rsid w:val="00C11B34"/>
    <w:rsid w:val="00C13E10"/>
    <w:rsid w:val="00C1635B"/>
    <w:rsid w:val="00C16D04"/>
    <w:rsid w:val="00C17417"/>
    <w:rsid w:val="00C17C97"/>
    <w:rsid w:val="00C225E9"/>
    <w:rsid w:val="00C23F4A"/>
    <w:rsid w:val="00C26F9A"/>
    <w:rsid w:val="00C33E49"/>
    <w:rsid w:val="00C365C7"/>
    <w:rsid w:val="00C4360A"/>
    <w:rsid w:val="00C452B8"/>
    <w:rsid w:val="00C50D03"/>
    <w:rsid w:val="00C57B50"/>
    <w:rsid w:val="00C61FB8"/>
    <w:rsid w:val="00C631B7"/>
    <w:rsid w:val="00C63E2B"/>
    <w:rsid w:val="00C649E0"/>
    <w:rsid w:val="00C726B7"/>
    <w:rsid w:val="00C73C21"/>
    <w:rsid w:val="00C74AF6"/>
    <w:rsid w:val="00C7621F"/>
    <w:rsid w:val="00C829EB"/>
    <w:rsid w:val="00C82B04"/>
    <w:rsid w:val="00C82B3F"/>
    <w:rsid w:val="00C831AF"/>
    <w:rsid w:val="00C8494F"/>
    <w:rsid w:val="00C84962"/>
    <w:rsid w:val="00C85E0E"/>
    <w:rsid w:val="00C8637A"/>
    <w:rsid w:val="00C86E10"/>
    <w:rsid w:val="00C87860"/>
    <w:rsid w:val="00C903C5"/>
    <w:rsid w:val="00C90A30"/>
    <w:rsid w:val="00C924A3"/>
    <w:rsid w:val="00C93528"/>
    <w:rsid w:val="00C953B0"/>
    <w:rsid w:val="00C97CDA"/>
    <w:rsid w:val="00CA6446"/>
    <w:rsid w:val="00CA7CF0"/>
    <w:rsid w:val="00CB1863"/>
    <w:rsid w:val="00CB48FB"/>
    <w:rsid w:val="00CB644D"/>
    <w:rsid w:val="00CC1A9E"/>
    <w:rsid w:val="00CC29C5"/>
    <w:rsid w:val="00CC3CFD"/>
    <w:rsid w:val="00CC4EE8"/>
    <w:rsid w:val="00CC525C"/>
    <w:rsid w:val="00CD03C9"/>
    <w:rsid w:val="00CD0662"/>
    <w:rsid w:val="00CD1A7D"/>
    <w:rsid w:val="00CD5825"/>
    <w:rsid w:val="00CE07F7"/>
    <w:rsid w:val="00CE0E51"/>
    <w:rsid w:val="00CE0E6C"/>
    <w:rsid w:val="00CE2960"/>
    <w:rsid w:val="00CE7289"/>
    <w:rsid w:val="00CE764F"/>
    <w:rsid w:val="00CF252F"/>
    <w:rsid w:val="00CF3B48"/>
    <w:rsid w:val="00CF43B9"/>
    <w:rsid w:val="00CF45EA"/>
    <w:rsid w:val="00CF4AF7"/>
    <w:rsid w:val="00CF5B2B"/>
    <w:rsid w:val="00D011FE"/>
    <w:rsid w:val="00D03271"/>
    <w:rsid w:val="00D0543C"/>
    <w:rsid w:val="00D0555D"/>
    <w:rsid w:val="00D15041"/>
    <w:rsid w:val="00D1542C"/>
    <w:rsid w:val="00D1626C"/>
    <w:rsid w:val="00D17166"/>
    <w:rsid w:val="00D20A3F"/>
    <w:rsid w:val="00D20EF7"/>
    <w:rsid w:val="00D245AD"/>
    <w:rsid w:val="00D26232"/>
    <w:rsid w:val="00D26F3F"/>
    <w:rsid w:val="00D3110C"/>
    <w:rsid w:val="00D31850"/>
    <w:rsid w:val="00D400AD"/>
    <w:rsid w:val="00D446A3"/>
    <w:rsid w:val="00D44E53"/>
    <w:rsid w:val="00D500A1"/>
    <w:rsid w:val="00D50AE1"/>
    <w:rsid w:val="00D50CC0"/>
    <w:rsid w:val="00D50D1A"/>
    <w:rsid w:val="00D510BD"/>
    <w:rsid w:val="00D518B2"/>
    <w:rsid w:val="00D52485"/>
    <w:rsid w:val="00D53685"/>
    <w:rsid w:val="00D544D6"/>
    <w:rsid w:val="00D55318"/>
    <w:rsid w:val="00D563B9"/>
    <w:rsid w:val="00D56D29"/>
    <w:rsid w:val="00D574B1"/>
    <w:rsid w:val="00D601DA"/>
    <w:rsid w:val="00D62183"/>
    <w:rsid w:val="00D67881"/>
    <w:rsid w:val="00D73822"/>
    <w:rsid w:val="00D73A01"/>
    <w:rsid w:val="00D73FC4"/>
    <w:rsid w:val="00D75207"/>
    <w:rsid w:val="00D7599E"/>
    <w:rsid w:val="00D75FE0"/>
    <w:rsid w:val="00D818D0"/>
    <w:rsid w:val="00D82438"/>
    <w:rsid w:val="00D83F21"/>
    <w:rsid w:val="00D84A4D"/>
    <w:rsid w:val="00D85226"/>
    <w:rsid w:val="00D858FF"/>
    <w:rsid w:val="00D87EB1"/>
    <w:rsid w:val="00D90A1D"/>
    <w:rsid w:val="00D91B31"/>
    <w:rsid w:val="00D92202"/>
    <w:rsid w:val="00D931DC"/>
    <w:rsid w:val="00D93A21"/>
    <w:rsid w:val="00D9405E"/>
    <w:rsid w:val="00D95615"/>
    <w:rsid w:val="00D95712"/>
    <w:rsid w:val="00D962E9"/>
    <w:rsid w:val="00D9670C"/>
    <w:rsid w:val="00D96A6F"/>
    <w:rsid w:val="00DA0C3B"/>
    <w:rsid w:val="00DA305C"/>
    <w:rsid w:val="00DA39F8"/>
    <w:rsid w:val="00DA3ABC"/>
    <w:rsid w:val="00DA3DD4"/>
    <w:rsid w:val="00DA65BA"/>
    <w:rsid w:val="00DA72E8"/>
    <w:rsid w:val="00DA7516"/>
    <w:rsid w:val="00DB3E31"/>
    <w:rsid w:val="00DB701C"/>
    <w:rsid w:val="00DC0342"/>
    <w:rsid w:val="00DC04D5"/>
    <w:rsid w:val="00DC4890"/>
    <w:rsid w:val="00DC63EE"/>
    <w:rsid w:val="00DD09F2"/>
    <w:rsid w:val="00DD14F5"/>
    <w:rsid w:val="00DD2C7E"/>
    <w:rsid w:val="00DD582F"/>
    <w:rsid w:val="00DD655B"/>
    <w:rsid w:val="00DE0C1F"/>
    <w:rsid w:val="00DE21F1"/>
    <w:rsid w:val="00DE3873"/>
    <w:rsid w:val="00DE5240"/>
    <w:rsid w:val="00DE5242"/>
    <w:rsid w:val="00DF464B"/>
    <w:rsid w:val="00DF57E2"/>
    <w:rsid w:val="00DF7209"/>
    <w:rsid w:val="00E023EB"/>
    <w:rsid w:val="00E05230"/>
    <w:rsid w:val="00E05B0D"/>
    <w:rsid w:val="00E06FF6"/>
    <w:rsid w:val="00E1493B"/>
    <w:rsid w:val="00E16144"/>
    <w:rsid w:val="00E25DEF"/>
    <w:rsid w:val="00E26B3F"/>
    <w:rsid w:val="00E3020B"/>
    <w:rsid w:val="00E30609"/>
    <w:rsid w:val="00E30CE1"/>
    <w:rsid w:val="00E32556"/>
    <w:rsid w:val="00E34673"/>
    <w:rsid w:val="00E34F20"/>
    <w:rsid w:val="00E35BAB"/>
    <w:rsid w:val="00E36D1E"/>
    <w:rsid w:val="00E40EAE"/>
    <w:rsid w:val="00E43A40"/>
    <w:rsid w:val="00E45DE1"/>
    <w:rsid w:val="00E467FF"/>
    <w:rsid w:val="00E47968"/>
    <w:rsid w:val="00E546B7"/>
    <w:rsid w:val="00E55F7F"/>
    <w:rsid w:val="00E60450"/>
    <w:rsid w:val="00E62745"/>
    <w:rsid w:val="00E62B18"/>
    <w:rsid w:val="00E7083B"/>
    <w:rsid w:val="00E7506E"/>
    <w:rsid w:val="00E770B2"/>
    <w:rsid w:val="00E81264"/>
    <w:rsid w:val="00E82D0A"/>
    <w:rsid w:val="00E841DE"/>
    <w:rsid w:val="00E84E3F"/>
    <w:rsid w:val="00E9127C"/>
    <w:rsid w:val="00E91AE8"/>
    <w:rsid w:val="00E9241B"/>
    <w:rsid w:val="00E92D14"/>
    <w:rsid w:val="00E93564"/>
    <w:rsid w:val="00E966DA"/>
    <w:rsid w:val="00E96E47"/>
    <w:rsid w:val="00EA7720"/>
    <w:rsid w:val="00EB0E9E"/>
    <w:rsid w:val="00EB1C61"/>
    <w:rsid w:val="00EB4ABD"/>
    <w:rsid w:val="00EB4BB9"/>
    <w:rsid w:val="00EC1655"/>
    <w:rsid w:val="00EC2175"/>
    <w:rsid w:val="00EC33F4"/>
    <w:rsid w:val="00EC63BF"/>
    <w:rsid w:val="00ED0E52"/>
    <w:rsid w:val="00ED1A5B"/>
    <w:rsid w:val="00ED645D"/>
    <w:rsid w:val="00ED7AE4"/>
    <w:rsid w:val="00EE1D01"/>
    <w:rsid w:val="00EF2344"/>
    <w:rsid w:val="00EF2409"/>
    <w:rsid w:val="00EF4E46"/>
    <w:rsid w:val="00EF5D76"/>
    <w:rsid w:val="00F00E13"/>
    <w:rsid w:val="00F0100D"/>
    <w:rsid w:val="00F049F6"/>
    <w:rsid w:val="00F06940"/>
    <w:rsid w:val="00F073AA"/>
    <w:rsid w:val="00F10BA6"/>
    <w:rsid w:val="00F11462"/>
    <w:rsid w:val="00F14915"/>
    <w:rsid w:val="00F15F00"/>
    <w:rsid w:val="00F20803"/>
    <w:rsid w:val="00F20954"/>
    <w:rsid w:val="00F21926"/>
    <w:rsid w:val="00F227A3"/>
    <w:rsid w:val="00F22878"/>
    <w:rsid w:val="00F23C74"/>
    <w:rsid w:val="00F242E2"/>
    <w:rsid w:val="00F26187"/>
    <w:rsid w:val="00F27660"/>
    <w:rsid w:val="00F322A1"/>
    <w:rsid w:val="00F32A3E"/>
    <w:rsid w:val="00F33BEF"/>
    <w:rsid w:val="00F371AC"/>
    <w:rsid w:val="00F374E9"/>
    <w:rsid w:val="00F4332B"/>
    <w:rsid w:val="00F47709"/>
    <w:rsid w:val="00F536E2"/>
    <w:rsid w:val="00F567EE"/>
    <w:rsid w:val="00F57E60"/>
    <w:rsid w:val="00F614B4"/>
    <w:rsid w:val="00F6593B"/>
    <w:rsid w:val="00F65BDE"/>
    <w:rsid w:val="00F6707F"/>
    <w:rsid w:val="00F70ACD"/>
    <w:rsid w:val="00F7106E"/>
    <w:rsid w:val="00F71341"/>
    <w:rsid w:val="00F73D78"/>
    <w:rsid w:val="00F75889"/>
    <w:rsid w:val="00F84504"/>
    <w:rsid w:val="00F853DE"/>
    <w:rsid w:val="00F867E5"/>
    <w:rsid w:val="00F907C4"/>
    <w:rsid w:val="00F9328E"/>
    <w:rsid w:val="00F963CC"/>
    <w:rsid w:val="00F9739E"/>
    <w:rsid w:val="00F97F14"/>
    <w:rsid w:val="00FA0A52"/>
    <w:rsid w:val="00FA2519"/>
    <w:rsid w:val="00FA2926"/>
    <w:rsid w:val="00FA4270"/>
    <w:rsid w:val="00FA72C0"/>
    <w:rsid w:val="00FB032D"/>
    <w:rsid w:val="00FB1D99"/>
    <w:rsid w:val="00FB46C1"/>
    <w:rsid w:val="00FB4B77"/>
    <w:rsid w:val="00FB5270"/>
    <w:rsid w:val="00FB5BBD"/>
    <w:rsid w:val="00FB6306"/>
    <w:rsid w:val="00FB6A51"/>
    <w:rsid w:val="00FC1816"/>
    <w:rsid w:val="00FC22B4"/>
    <w:rsid w:val="00FC6C15"/>
    <w:rsid w:val="00FD3D3E"/>
    <w:rsid w:val="00FD44AB"/>
    <w:rsid w:val="00FD4CA7"/>
    <w:rsid w:val="00FD67DB"/>
    <w:rsid w:val="00FE148A"/>
    <w:rsid w:val="00FE1B68"/>
    <w:rsid w:val="00FE2B89"/>
    <w:rsid w:val="00FF1101"/>
    <w:rsid w:val="00FF33BE"/>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2424EE"/>
  <w15:docId w15:val="{4713FE07-DEED-F644-9ACB-DD2E5A76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791"/>
    <w:pPr>
      <w:spacing w:after="0"/>
    </w:pPr>
    <w:rPr>
      <w:rFonts w:ascii="Times New Roman" w:eastAsia="Times New Roman" w:hAnsi="Times New Roman" w:cs="Times New Roman"/>
      <w:lang w:eastAsia="en-US"/>
    </w:rPr>
  </w:style>
  <w:style w:type="paragraph" w:styleId="Heading1">
    <w:name w:val="heading 1"/>
    <w:basedOn w:val="Normal"/>
    <w:next w:val="Heading2"/>
    <w:link w:val="Heading1Char"/>
    <w:uiPriority w:val="9"/>
    <w:qFormat/>
    <w:rsid w:val="0086376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ind w:left="360" w:hanging="360"/>
      <w:outlineLvl w:val="0"/>
    </w:pPr>
    <w:rPr>
      <w:rFonts w:asciiTheme="minorHAnsi" w:eastAsiaTheme="minorEastAsia" w:hAnsiTheme="minorHAnsi" w:cstheme="minorBidi"/>
      <w:b/>
      <w:bCs/>
      <w:caps/>
      <w:color w:val="FFFFFF" w:themeColor="background1"/>
      <w:spacing w:val="15"/>
      <w:sz w:val="22"/>
      <w:szCs w:val="22"/>
      <w:lang w:eastAsia="ja-JP"/>
    </w:rPr>
  </w:style>
  <w:style w:type="paragraph" w:styleId="Heading2">
    <w:name w:val="heading 2"/>
    <w:basedOn w:val="Normal"/>
    <w:next w:val="Normal"/>
    <w:link w:val="Heading2Char"/>
    <w:uiPriority w:val="9"/>
    <w:qFormat/>
    <w:rsid w:val="00F71341"/>
    <w:pPr>
      <w:keepNext/>
      <w:numPr>
        <w:ilvl w:val="1"/>
        <w:numId w:val="1"/>
      </w:numPr>
      <w:spacing w:before="360" w:after="60"/>
      <w:outlineLvl w:val="1"/>
    </w:pPr>
    <w:rPr>
      <w:rFonts w:ascii="Cambria" w:eastAsia="Cambria" w:hAnsi="Cambria" w:cs="Arial"/>
      <w:b/>
      <w:bCs/>
      <w:i/>
      <w:iCs/>
      <w:color w:val="000090"/>
      <w:sz w:val="28"/>
      <w:szCs w:val="28"/>
      <w:lang w:eastAsia="fr-FR"/>
    </w:rPr>
  </w:style>
  <w:style w:type="paragraph" w:styleId="Heading3">
    <w:name w:val="heading 3"/>
    <w:basedOn w:val="Heading2"/>
    <w:next w:val="Normal"/>
    <w:link w:val="Heading3Char"/>
    <w:qFormat/>
    <w:rsid w:val="00F11462"/>
    <w:pPr>
      <w:numPr>
        <w:ilvl w:val="2"/>
      </w:numPr>
      <w:outlineLvl w:val="2"/>
    </w:pPr>
    <w:rPr>
      <w:i w:val="0"/>
      <w:kern w:val="32"/>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76D"/>
    <w:rPr>
      <w:b/>
      <w:bCs/>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rsid w:val="00F71341"/>
    <w:rPr>
      <w:rFonts w:ascii="Cambria" w:eastAsia="Cambria" w:hAnsi="Cambria" w:cs="Arial"/>
      <w:b/>
      <w:bCs/>
      <w:i/>
      <w:iCs/>
      <w:color w:val="000090"/>
      <w:sz w:val="28"/>
      <w:szCs w:val="28"/>
      <w:lang w:val="en-GB"/>
    </w:rPr>
  </w:style>
  <w:style w:type="character" w:customStyle="1" w:styleId="Heading3Char">
    <w:name w:val="Heading 3 Char"/>
    <w:basedOn w:val="DefaultParagraphFont"/>
    <w:link w:val="Heading3"/>
    <w:rsid w:val="00F11462"/>
    <w:rPr>
      <w:rFonts w:ascii="Cambria" w:eastAsia="Cambria" w:hAnsi="Cambria" w:cs="Arial"/>
      <w:b/>
      <w:bCs/>
      <w:iCs/>
      <w:color w:val="0000FF"/>
      <w:kern w:val="32"/>
      <w:szCs w:val="28"/>
      <w:lang w:val="en-GB" w:eastAsia="en-GB"/>
    </w:rPr>
  </w:style>
  <w:style w:type="paragraph" w:customStyle="1" w:styleId="numberedparas">
    <w:name w:val="numbered paras"/>
    <w:basedOn w:val="Normal"/>
    <w:rsid w:val="00F11462"/>
    <w:pPr>
      <w:numPr>
        <w:numId w:val="3"/>
      </w:numPr>
      <w:spacing w:before="120" w:after="120"/>
      <w:jc w:val="both"/>
    </w:pPr>
    <w:rPr>
      <w:rFonts w:ascii="Cambria" w:eastAsia="Cambria" w:hAnsi="Cambria"/>
      <w:lang w:eastAsia="en-GB"/>
    </w:rPr>
  </w:style>
  <w:style w:type="paragraph" w:customStyle="1" w:styleId="Tableindent">
    <w:name w:val="Table indent"/>
    <w:basedOn w:val="Normal"/>
    <w:rsid w:val="00606AF4"/>
    <w:pPr>
      <w:numPr>
        <w:numId w:val="7"/>
      </w:numPr>
      <w:spacing w:before="120" w:after="60"/>
    </w:pPr>
    <w:rPr>
      <w:rFonts w:eastAsia="Cambria"/>
      <w:sz w:val="20"/>
      <w:lang w:eastAsia="en-GB"/>
    </w:rPr>
  </w:style>
  <w:style w:type="paragraph" w:customStyle="1" w:styleId="Table">
    <w:name w:val="Table"/>
    <w:basedOn w:val="Normal"/>
    <w:rsid w:val="00DF57E2"/>
    <w:pPr>
      <w:tabs>
        <w:tab w:val="left" w:pos="567"/>
      </w:tabs>
      <w:spacing w:before="60" w:after="60"/>
    </w:pPr>
    <w:rPr>
      <w:rFonts w:asciiTheme="majorHAnsi" w:eastAsia="Cambria" w:hAnsiTheme="majorHAnsi"/>
      <w:sz w:val="22"/>
      <w:szCs w:val="22"/>
      <w:lang w:eastAsia="fr-FR"/>
    </w:rPr>
  </w:style>
  <w:style w:type="paragraph" w:styleId="ListBullet">
    <w:name w:val="List Bullet"/>
    <w:basedOn w:val="Normal"/>
    <w:uiPriority w:val="99"/>
    <w:unhideWhenUsed/>
    <w:rsid w:val="003A0328"/>
    <w:pPr>
      <w:numPr>
        <w:numId w:val="11"/>
      </w:numPr>
      <w:tabs>
        <w:tab w:val="clear" w:pos="360"/>
        <w:tab w:val="num" w:pos="927"/>
      </w:tabs>
      <w:spacing w:before="120" w:after="120"/>
    </w:pPr>
    <w:rPr>
      <w:rFonts w:asciiTheme="majorHAnsi" w:eastAsiaTheme="minorEastAsia" w:hAnsiTheme="majorHAnsi" w:cstheme="minorBidi"/>
      <w:lang w:eastAsia="fr-FR"/>
    </w:rPr>
  </w:style>
  <w:style w:type="paragraph" w:customStyle="1" w:styleId="tableindentitalics">
    <w:name w:val="table indent italics"/>
    <w:basedOn w:val="Tableindent"/>
    <w:qFormat/>
    <w:rsid w:val="00606AF4"/>
    <w:pPr>
      <w:numPr>
        <w:numId w:val="0"/>
      </w:numPr>
    </w:pPr>
    <w:rPr>
      <w:i/>
    </w:rPr>
  </w:style>
  <w:style w:type="table" w:styleId="TableGrid">
    <w:name w:val="Table Grid"/>
    <w:basedOn w:val="TableNormal"/>
    <w:uiPriority w:val="59"/>
    <w:rsid w:val="009D411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summary">
    <w:name w:val="boxed summary"/>
    <w:basedOn w:val="Normal"/>
    <w:qFormat/>
    <w:rsid w:val="002D7622"/>
    <w:pPr>
      <w:numPr>
        <w:numId w:val="15"/>
      </w:numPr>
      <w:pBdr>
        <w:top w:val="single" w:sz="4" w:space="1" w:color="auto"/>
        <w:left w:val="single" w:sz="4" w:space="4" w:color="auto"/>
        <w:bottom w:val="single" w:sz="4" w:space="1" w:color="auto"/>
        <w:right w:val="single" w:sz="4" w:space="4" w:color="auto"/>
      </w:pBdr>
      <w:spacing w:before="240" w:after="240"/>
      <w:jc w:val="both"/>
    </w:pPr>
    <w:rPr>
      <w:rFonts w:asciiTheme="majorHAnsi" w:eastAsiaTheme="minorEastAsia" w:hAnsiTheme="majorHAnsi" w:cstheme="minorBidi"/>
      <w:i/>
      <w:lang w:eastAsia="fr-FR"/>
    </w:rPr>
  </w:style>
  <w:style w:type="paragraph" w:styleId="BalloonText">
    <w:name w:val="Balloon Text"/>
    <w:basedOn w:val="Normal"/>
    <w:link w:val="BalloonTextChar"/>
    <w:uiPriority w:val="99"/>
    <w:semiHidden/>
    <w:unhideWhenUsed/>
    <w:rsid w:val="00E1493B"/>
    <w:pPr>
      <w:spacing w:before="120"/>
    </w:pPr>
    <w:rPr>
      <w:rFonts w:ascii="Lucida Grande" w:eastAsiaTheme="minorEastAsia" w:hAnsi="Lucida Grande" w:cs="Lucida Grande"/>
      <w:sz w:val="18"/>
      <w:szCs w:val="18"/>
      <w:lang w:eastAsia="fr-FR"/>
    </w:rPr>
  </w:style>
  <w:style w:type="character" w:customStyle="1" w:styleId="BalloonTextChar">
    <w:name w:val="Balloon Text Char"/>
    <w:basedOn w:val="DefaultParagraphFont"/>
    <w:link w:val="BalloonText"/>
    <w:uiPriority w:val="99"/>
    <w:semiHidden/>
    <w:rsid w:val="00E1493B"/>
    <w:rPr>
      <w:rFonts w:ascii="Lucida Grande" w:hAnsi="Lucida Grande" w:cs="Lucida Grande"/>
      <w:sz w:val="18"/>
      <w:szCs w:val="18"/>
      <w:lang w:val="en-GB"/>
    </w:rPr>
  </w:style>
  <w:style w:type="paragraph" w:styleId="FootnoteText">
    <w:name w:val="footnote text"/>
    <w:basedOn w:val="Normal"/>
    <w:link w:val="FootnoteTextChar"/>
    <w:uiPriority w:val="99"/>
    <w:unhideWhenUsed/>
    <w:rsid w:val="00DF57E2"/>
    <w:pPr>
      <w:spacing w:before="120"/>
    </w:pPr>
    <w:rPr>
      <w:rFonts w:asciiTheme="majorHAnsi" w:eastAsiaTheme="minorEastAsia" w:hAnsiTheme="majorHAnsi" w:cstheme="minorBidi"/>
      <w:sz w:val="20"/>
      <w:lang w:eastAsia="fr-FR"/>
    </w:rPr>
  </w:style>
  <w:style w:type="character" w:customStyle="1" w:styleId="FootnoteTextChar">
    <w:name w:val="Footnote Text Char"/>
    <w:basedOn w:val="DefaultParagraphFont"/>
    <w:link w:val="FootnoteText"/>
    <w:uiPriority w:val="99"/>
    <w:rsid w:val="00DF57E2"/>
    <w:rPr>
      <w:rFonts w:asciiTheme="majorHAnsi" w:hAnsiTheme="majorHAnsi"/>
      <w:sz w:val="20"/>
      <w:lang w:eastAsia="fr-FR"/>
    </w:rPr>
  </w:style>
  <w:style w:type="character" w:styleId="FootnoteReference">
    <w:name w:val="footnote reference"/>
    <w:basedOn w:val="DefaultParagraphFont"/>
    <w:uiPriority w:val="99"/>
    <w:unhideWhenUsed/>
    <w:rsid w:val="000B734A"/>
    <w:rPr>
      <w:vertAlign w:val="superscript"/>
    </w:rPr>
  </w:style>
  <w:style w:type="paragraph" w:styleId="Header">
    <w:name w:val="header"/>
    <w:basedOn w:val="Normal"/>
    <w:link w:val="HeaderChar"/>
    <w:uiPriority w:val="99"/>
    <w:unhideWhenUsed/>
    <w:rsid w:val="00644BF1"/>
    <w:pPr>
      <w:tabs>
        <w:tab w:val="center" w:pos="4320"/>
        <w:tab w:val="right" w:pos="8640"/>
      </w:tabs>
      <w:spacing w:before="120"/>
    </w:pPr>
    <w:rPr>
      <w:rFonts w:asciiTheme="majorHAnsi" w:eastAsiaTheme="minorEastAsia" w:hAnsiTheme="majorHAnsi" w:cstheme="minorBidi"/>
      <w:lang w:eastAsia="fr-FR"/>
    </w:rPr>
  </w:style>
  <w:style w:type="character" w:customStyle="1" w:styleId="HeaderChar">
    <w:name w:val="Header Char"/>
    <w:basedOn w:val="DefaultParagraphFont"/>
    <w:link w:val="Header"/>
    <w:uiPriority w:val="99"/>
    <w:rsid w:val="00644BF1"/>
    <w:rPr>
      <w:lang w:val="en-GB"/>
    </w:rPr>
  </w:style>
  <w:style w:type="paragraph" w:styleId="Footer">
    <w:name w:val="footer"/>
    <w:basedOn w:val="Normal"/>
    <w:link w:val="FooterChar"/>
    <w:uiPriority w:val="99"/>
    <w:unhideWhenUsed/>
    <w:rsid w:val="00644BF1"/>
    <w:pPr>
      <w:tabs>
        <w:tab w:val="center" w:pos="4320"/>
        <w:tab w:val="right" w:pos="8640"/>
      </w:tabs>
      <w:spacing w:before="120"/>
    </w:pPr>
    <w:rPr>
      <w:rFonts w:asciiTheme="majorHAnsi" w:eastAsiaTheme="minorEastAsia" w:hAnsiTheme="majorHAnsi" w:cstheme="minorBidi"/>
      <w:lang w:eastAsia="fr-FR"/>
    </w:rPr>
  </w:style>
  <w:style w:type="character" w:customStyle="1" w:styleId="FooterChar">
    <w:name w:val="Footer Char"/>
    <w:basedOn w:val="DefaultParagraphFont"/>
    <w:link w:val="Footer"/>
    <w:uiPriority w:val="99"/>
    <w:rsid w:val="00644BF1"/>
    <w:rPr>
      <w:lang w:val="en-GB"/>
    </w:rPr>
  </w:style>
  <w:style w:type="character" w:styleId="Hyperlink">
    <w:name w:val="Hyperlink"/>
    <w:basedOn w:val="DefaultParagraphFont"/>
    <w:uiPriority w:val="99"/>
    <w:unhideWhenUsed/>
    <w:rsid w:val="00823076"/>
    <w:rPr>
      <w:color w:val="0000FF" w:themeColor="hyperlink"/>
      <w:u w:val="single"/>
    </w:rPr>
  </w:style>
  <w:style w:type="paragraph" w:customStyle="1" w:styleId="Quotes">
    <w:name w:val="Quotes"/>
    <w:basedOn w:val="numberedparas"/>
    <w:qFormat/>
    <w:rsid w:val="00913DC2"/>
    <w:pPr>
      <w:numPr>
        <w:numId w:val="0"/>
      </w:numPr>
      <w:ind w:left="990" w:right="900"/>
    </w:pPr>
    <w:rPr>
      <w:i/>
    </w:rPr>
  </w:style>
  <w:style w:type="paragraph" w:customStyle="1" w:styleId="bulletsItalics">
    <w:name w:val="bullets Italics"/>
    <w:basedOn w:val="numberedparas"/>
    <w:qFormat/>
    <w:rsid w:val="00B557C2"/>
    <w:rPr>
      <w:i/>
    </w:rPr>
  </w:style>
  <w:style w:type="paragraph" w:customStyle="1" w:styleId="ESheadings">
    <w:name w:val="ES headings"/>
    <w:basedOn w:val="Heading2"/>
    <w:qFormat/>
    <w:rsid w:val="00C631B7"/>
    <w:pPr>
      <w:numPr>
        <w:ilvl w:val="0"/>
        <w:numId w:val="24"/>
      </w:numPr>
      <w:tabs>
        <w:tab w:val="left" w:pos="1170"/>
      </w:tabs>
      <w:ind w:left="900"/>
    </w:pPr>
  </w:style>
  <w:style w:type="character" w:styleId="CommentReference">
    <w:name w:val="annotation reference"/>
    <w:basedOn w:val="DefaultParagraphFont"/>
    <w:uiPriority w:val="99"/>
    <w:semiHidden/>
    <w:unhideWhenUsed/>
    <w:rsid w:val="00042418"/>
    <w:rPr>
      <w:sz w:val="18"/>
      <w:szCs w:val="18"/>
    </w:rPr>
  </w:style>
  <w:style w:type="paragraph" w:styleId="CommentText">
    <w:name w:val="annotation text"/>
    <w:basedOn w:val="Normal"/>
    <w:link w:val="CommentTextChar"/>
    <w:uiPriority w:val="99"/>
    <w:semiHidden/>
    <w:unhideWhenUsed/>
    <w:rsid w:val="00042418"/>
    <w:pPr>
      <w:spacing w:before="120" w:after="120"/>
    </w:pPr>
    <w:rPr>
      <w:rFonts w:asciiTheme="majorHAnsi" w:eastAsiaTheme="minorEastAsia" w:hAnsiTheme="majorHAnsi" w:cstheme="minorBidi"/>
      <w:lang w:eastAsia="fr-FR"/>
    </w:rPr>
  </w:style>
  <w:style w:type="character" w:customStyle="1" w:styleId="CommentTextChar">
    <w:name w:val="Comment Text Char"/>
    <w:basedOn w:val="DefaultParagraphFont"/>
    <w:link w:val="CommentText"/>
    <w:uiPriority w:val="99"/>
    <w:semiHidden/>
    <w:rsid w:val="00042418"/>
    <w:rPr>
      <w:lang w:val="en-GB"/>
    </w:rPr>
  </w:style>
  <w:style w:type="paragraph" w:styleId="CommentSubject">
    <w:name w:val="annotation subject"/>
    <w:basedOn w:val="CommentText"/>
    <w:next w:val="CommentText"/>
    <w:link w:val="CommentSubjectChar"/>
    <w:uiPriority w:val="99"/>
    <w:semiHidden/>
    <w:unhideWhenUsed/>
    <w:rsid w:val="00042418"/>
    <w:rPr>
      <w:b/>
      <w:bCs/>
      <w:sz w:val="20"/>
      <w:szCs w:val="20"/>
    </w:rPr>
  </w:style>
  <w:style w:type="character" w:customStyle="1" w:styleId="CommentSubjectChar">
    <w:name w:val="Comment Subject Char"/>
    <w:basedOn w:val="CommentTextChar"/>
    <w:link w:val="CommentSubject"/>
    <w:uiPriority w:val="99"/>
    <w:semiHidden/>
    <w:rsid w:val="00042418"/>
    <w:rPr>
      <w:b/>
      <w:bCs/>
      <w:sz w:val="20"/>
      <w:szCs w:val="20"/>
      <w:lang w:val="en-GB"/>
    </w:rPr>
  </w:style>
  <w:style w:type="paragraph" w:customStyle="1" w:styleId="Recommendations">
    <w:name w:val="Recommendations"/>
    <w:basedOn w:val="boxedsummary"/>
    <w:qFormat/>
    <w:rsid w:val="00481B34"/>
    <w:pPr>
      <w:numPr>
        <w:numId w:val="26"/>
      </w:numPr>
      <w:ind w:left="900" w:hanging="450"/>
    </w:pPr>
    <w:rPr>
      <w:i w:val="0"/>
    </w:rPr>
  </w:style>
  <w:style w:type="paragraph" w:customStyle="1" w:styleId="doubleindent">
    <w:name w:val="double indent"/>
    <w:basedOn w:val="Tableindent"/>
    <w:qFormat/>
    <w:rsid w:val="00F9739E"/>
    <w:pPr>
      <w:numPr>
        <w:numId w:val="30"/>
      </w:numPr>
    </w:pPr>
    <w:rPr>
      <w:sz w:val="24"/>
    </w:rPr>
  </w:style>
  <w:style w:type="paragraph" w:styleId="ListParagraph">
    <w:name w:val="List Paragraph"/>
    <w:basedOn w:val="Normal"/>
    <w:rsid w:val="00DF57E2"/>
    <w:pPr>
      <w:widowControl w:val="0"/>
      <w:suppressAutoHyphens/>
      <w:autoSpaceDN w:val="0"/>
      <w:spacing w:before="120" w:after="120"/>
      <w:textAlignment w:val="baseline"/>
    </w:pPr>
    <w:rPr>
      <w:rFonts w:ascii="Calibri" w:eastAsia="SimSun" w:hAnsi="Calibri" w:cs="Calibri"/>
      <w:kern w:val="3"/>
      <w:lang w:eastAsia="zh-CN" w:bidi="hi-IN"/>
    </w:rPr>
  </w:style>
  <w:style w:type="paragraph" w:styleId="Title">
    <w:name w:val="Title"/>
    <w:basedOn w:val="Normal"/>
    <w:next w:val="Normal"/>
    <w:link w:val="TitleChar"/>
    <w:uiPriority w:val="10"/>
    <w:qFormat/>
    <w:rsid w:val="0086376D"/>
    <w:pPr>
      <w:spacing w:before="720" w:after="200" w:line="276" w:lineRule="auto"/>
    </w:pPr>
    <w:rPr>
      <w:rFonts w:asciiTheme="minorHAnsi" w:eastAsiaTheme="minorEastAsia" w:hAnsiTheme="minorHAnsi" w:cstheme="minorBidi"/>
      <w:caps/>
      <w:color w:val="4F81BD" w:themeColor="accent1"/>
      <w:spacing w:val="10"/>
      <w:kern w:val="28"/>
      <w:sz w:val="52"/>
      <w:szCs w:val="52"/>
      <w:lang w:eastAsia="ja-JP"/>
    </w:rPr>
  </w:style>
  <w:style w:type="character" w:customStyle="1" w:styleId="TitleChar">
    <w:name w:val="Title Char"/>
    <w:basedOn w:val="DefaultParagraphFont"/>
    <w:link w:val="Title"/>
    <w:uiPriority w:val="10"/>
    <w:rsid w:val="0086376D"/>
    <w:rPr>
      <w:caps/>
      <w:color w:val="4F81BD" w:themeColor="accent1"/>
      <w:spacing w:val="10"/>
      <w:kern w:val="28"/>
      <w:sz w:val="52"/>
      <w:szCs w:val="52"/>
    </w:rPr>
  </w:style>
  <w:style w:type="character" w:customStyle="1" w:styleId="apple-converted-space">
    <w:name w:val="apple-converted-space"/>
    <w:basedOn w:val="DefaultParagraphFont"/>
    <w:rsid w:val="00253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85200">
      <w:bodyDiv w:val="1"/>
      <w:marLeft w:val="0"/>
      <w:marRight w:val="0"/>
      <w:marTop w:val="0"/>
      <w:marBottom w:val="0"/>
      <w:divBdr>
        <w:top w:val="none" w:sz="0" w:space="0" w:color="auto"/>
        <w:left w:val="none" w:sz="0" w:space="0" w:color="auto"/>
        <w:bottom w:val="none" w:sz="0" w:space="0" w:color="auto"/>
        <w:right w:val="none" w:sz="0" w:space="0" w:color="auto"/>
      </w:divBdr>
    </w:div>
    <w:div w:id="302737550">
      <w:bodyDiv w:val="1"/>
      <w:marLeft w:val="0"/>
      <w:marRight w:val="0"/>
      <w:marTop w:val="0"/>
      <w:marBottom w:val="0"/>
      <w:divBdr>
        <w:top w:val="none" w:sz="0" w:space="0" w:color="auto"/>
        <w:left w:val="none" w:sz="0" w:space="0" w:color="auto"/>
        <w:bottom w:val="none" w:sz="0" w:space="0" w:color="auto"/>
        <w:right w:val="none" w:sz="0" w:space="0" w:color="auto"/>
      </w:divBdr>
    </w:div>
    <w:div w:id="549994025">
      <w:bodyDiv w:val="1"/>
      <w:marLeft w:val="0"/>
      <w:marRight w:val="0"/>
      <w:marTop w:val="0"/>
      <w:marBottom w:val="0"/>
      <w:divBdr>
        <w:top w:val="none" w:sz="0" w:space="0" w:color="auto"/>
        <w:left w:val="none" w:sz="0" w:space="0" w:color="auto"/>
        <w:bottom w:val="none" w:sz="0" w:space="0" w:color="auto"/>
        <w:right w:val="none" w:sz="0" w:space="0" w:color="auto"/>
      </w:divBdr>
    </w:div>
    <w:div w:id="976495455">
      <w:bodyDiv w:val="1"/>
      <w:marLeft w:val="0"/>
      <w:marRight w:val="0"/>
      <w:marTop w:val="0"/>
      <w:marBottom w:val="0"/>
      <w:divBdr>
        <w:top w:val="none" w:sz="0" w:space="0" w:color="auto"/>
        <w:left w:val="none" w:sz="0" w:space="0" w:color="auto"/>
        <w:bottom w:val="none" w:sz="0" w:space="0" w:color="auto"/>
        <w:right w:val="none" w:sz="0" w:space="0" w:color="auto"/>
      </w:divBdr>
    </w:div>
    <w:div w:id="1119690044">
      <w:bodyDiv w:val="1"/>
      <w:marLeft w:val="0"/>
      <w:marRight w:val="0"/>
      <w:marTop w:val="0"/>
      <w:marBottom w:val="0"/>
      <w:divBdr>
        <w:top w:val="none" w:sz="0" w:space="0" w:color="auto"/>
        <w:left w:val="none" w:sz="0" w:space="0" w:color="auto"/>
        <w:bottom w:val="none" w:sz="0" w:space="0" w:color="auto"/>
        <w:right w:val="none" w:sz="0" w:space="0" w:color="auto"/>
      </w:divBdr>
    </w:div>
    <w:div w:id="1148208096">
      <w:bodyDiv w:val="1"/>
      <w:marLeft w:val="0"/>
      <w:marRight w:val="0"/>
      <w:marTop w:val="0"/>
      <w:marBottom w:val="0"/>
      <w:divBdr>
        <w:top w:val="none" w:sz="0" w:space="0" w:color="auto"/>
        <w:left w:val="none" w:sz="0" w:space="0" w:color="auto"/>
        <w:bottom w:val="none" w:sz="0" w:space="0" w:color="auto"/>
        <w:right w:val="none" w:sz="0" w:space="0" w:color="auto"/>
      </w:divBdr>
    </w:div>
    <w:div w:id="1154638907">
      <w:bodyDiv w:val="1"/>
      <w:marLeft w:val="0"/>
      <w:marRight w:val="0"/>
      <w:marTop w:val="0"/>
      <w:marBottom w:val="0"/>
      <w:divBdr>
        <w:top w:val="none" w:sz="0" w:space="0" w:color="auto"/>
        <w:left w:val="none" w:sz="0" w:space="0" w:color="auto"/>
        <w:bottom w:val="none" w:sz="0" w:space="0" w:color="auto"/>
        <w:right w:val="none" w:sz="0" w:space="0" w:color="auto"/>
      </w:divBdr>
    </w:div>
    <w:div w:id="1193375806">
      <w:bodyDiv w:val="1"/>
      <w:marLeft w:val="0"/>
      <w:marRight w:val="0"/>
      <w:marTop w:val="0"/>
      <w:marBottom w:val="0"/>
      <w:divBdr>
        <w:top w:val="none" w:sz="0" w:space="0" w:color="auto"/>
        <w:left w:val="none" w:sz="0" w:space="0" w:color="auto"/>
        <w:bottom w:val="none" w:sz="0" w:space="0" w:color="auto"/>
        <w:right w:val="none" w:sz="0" w:space="0" w:color="auto"/>
      </w:divBdr>
    </w:div>
    <w:div w:id="1217815827">
      <w:bodyDiv w:val="1"/>
      <w:marLeft w:val="0"/>
      <w:marRight w:val="0"/>
      <w:marTop w:val="0"/>
      <w:marBottom w:val="0"/>
      <w:divBdr>
        <w:top w:val="none" w:sz="0" w:space="0" w:color="auto"/>
        <w:left w:val="none" w:sz="0" w:space="0" w:color="auto"/>
        <w:bottom w:val="none" w:sz="0" w:space="0" w:color="auto"/>
        <w:right w:val="none" w:sz="0" w:space="0" w:color="auto"/>
      </w:divBdr>
    </w:div>
    <w:div w:id="1433865610">
      <w:bodyDiv w:val="1"/>
      <w:marLeft w:val="0"/>
      <w:marRight w:val="0"/>
      <w:marTop w:val="0"/>
      <w:marBottom w:val="0"/>
      <w:divBdr>
        <w:top w:val="none" w:sz="0" w:space="0" w:color="auto"/>
        <w:left w:val="none" w:sz="0" w:space="0" w:color="auto"/>
        <w:bottom w:val="none" w:sz="0" w:space="0" w:color="auto"/>
        <w:right w:val="none" w:sz="0" w:space="0" w:color="auto"/>
      </w:divBdr>
    </w:div>
    <w:div w:id="1485858135">
      <w:bodyDiv w:val="1"/>
      <w:marLeft w:val="0"/>
      <w:marRight w:val="0"/>
      <w:marTop w:val="0"/>
      <w:marBottom w:val="0"/>
      <w:divBdr>
        <w:top w:val="none" w:sz="0" w:space="0" w:color="auto"/>
        <w:left w:val="none" w:sz="0" w:space="0" w:color="auto"/>
        <w:bottom w:val="none" w:sz="0" w:space="0" w:color="auto"/>
        <w:right w:val="none" w:sz="0" w:space="0" w:color="auto"/>
      </w:divBdr>
    </w:div>
    <w:div w:id="1695303639">
      <w:bodyDiv w:val="1"/>
      <w:marLeft w:val="0"/>
      <w:marRight w:val="0"/>
      <w:marTop w:val="0"/>
      <w:marBottom w:val="0"/>
      <w:divBdr>
        <w:top w:val="none" w:sz="0" w:space="0" w:color="auto"/>
        <w:left w:val="none" w:sz="0" w:space="0" w:color="auto"/>
        <w:bottom w:val="none" w:sz="0" w:space="0" w:color="auto"/>
        <w:right w:val="none" w:sz="0" w:space="0" w:color="auto"/>
      </w:divBdr>
    </w:div>
    <w:div w:id="2077194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mpal.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5288</Words>
  <Characters>30148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Richard Maggs</Company>
  <LinksUpToDate>false</LinksUpToDate>
  <CharactersWithSpaces>35366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Maggs</dc:creator>
  <cp:lastModifiedBy>Richard Maggs</cp:lastModifiedBy>
  <cp:revision>2</cp:revision>
  <cp:lastPrinted>2019-05-25T19:28:00Z</cp:lastPrinted>
  <dcterms:created xsi:type="dcterms:W3CDTF">2019-08-12T17:33:00Z</dcterms:created>
  <dcterms:modified xsi:type="dcterms:W3CDTF">2019-08-12T17:33:00Z</dcterms:modified>
</cp:coreProperties>
</file>