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510E3" w14:textId="62E495CF" w:rsidR="005A1144" w:rsidRPr="002659A3" w:rsidRDefault="00743E60" w:rsidP="00EF53AE">
      <w:pPr>
        <w:spacing w:afterLines="80" w:after="192"/>
        <w:jc w:val="center"/>
        <w:rPr>
          <w:b/>
          <w:color w:val="0070C0"/>
          <w:sz w:val="28"/>
          <w:szCs w:val="28"/>
          <w:lang w:eastAsia="bs-Latn-BA"/>
        </w:rPr>
      </w:pPr>
      <w:r w:rsidRPr="002659A3">
        <w:rPr>
          <w:b/>
          <w:color w:val="0070C0"/>
          <w:sz w:val="28"/>
          <w:szCs w:val="28"/>
          <w:lang w:eastAsia="bs-Latn-BA"/>
        </w:rPr>
        <w:t>EVENT REPORT</w:t>
      </w:r>
      <w:r w:rsidRPr="002659A3">
        <w:rPr>
          <w:b/>
          <w:bCs/>
          <w:color w:val="0070C0"/>
          <w:sz w:val="28"/>
          <w:szCs w:val="28"/>
          <w:lang w:eastAsia="bs-Latn-BA"/>
        </w:rPr>
        <w:t xml:space="preserve">: </w:t>
      </w:r>
      <w:r w:rsidR="00EF53AE" w:rsidRPr="002659A3">
        <w:rPr>
          <w:b/>
          <w:bCs/>
          <w:color w:val="0070C0"/>
          <w:sz w:val="28"/>
          <w:szCs w:val="28"/>
          <w:lang w:eastAsia="bs-Latn-BA"/>
        </w:rPr>
        <w:t>Joint Workshop of PEMPAL B</w:t>
      </w:r>
      <w:r w:rsidR="00EA1420" w:rsidRPr="002659A3">
        <w:rPr>
          <w:b/>
          <w:bCs/>
          <w:color w:val="0070C0"/>
          <w:sz w:val="28"/>
          <w:szCs w:val="28"/>
          <w:lang w:eastAsia="bs-Latn-BA"/>
        </w:rPr>
        <w:t>udget Community of Practice (B</w:t>
      </w:r>
      <w:r w:rsidR="00EF53AE" w:rsidRPr="002659A3">
        <w:rPr>
          <w:b/>
          <w:bCs/>
          <w:color w:val="0070C0"/>
          <w:sz w:val="28"/>
          <w:szCs w:val="28"/>
          <w:lang w:eastAsia="bs-Latn-BA"/>
        </w:rPr>
        <w:t>COP</w:t>
      </w:r>
      <w:r w:rsidR="00EA1420" w:rsidRPr="002659A3">
        <w:rPr>
          <w:b/>
          <w:bCs/>
          <w:color w:val="0070C0"/>
          <w:sz w:val="28"/>
          <w:szCs w:val="28"/>
          <w:lang w:eastAsia="bs-Latn-BA"/>
        </w:rPr>
        <w:t>)</w:t>
      </w:r>
      <w:r w:rsidR="00EF53AE" w:rsidRPr="002659A3">
        <w:rPr>
          <w:b/>
          <w:bCs/>
          <w:color w:val="0070C0"/>
          <w:sz w:val="28"/>
          <w:szCs w:val="28"/>
          <w:lang w:eastAsia="bs-Latn-BA"/>
        </w:rPr>
        <w:t xml:space="preserve"> Program and Performance Budgeting Working Group (PPBWG) and Budget Literacy and Transparency Working Group (BLTWG), </w:t>
      </w:r>
      <w:r w:rsidR="00994F9D" w:rsidRPr="002659A3">
        <w:rPr>
          <w:b/>
          <w:color w:val="0070C0"/>
          <w:sz w:val="28"/>
          <w:szCs w:val="28"/>
          <w:lang w:eastAsia="bs-Latn-BA"/>
        </w:rPr>
        <w:t>November 5</w:t>
      </w:r>
      <w:r w:rsidR="00407071" w:rsidRPr="002659A3">
        <w:rPr>
          <w:b/>
          <w:color w:val="0070C0"/>
          <w:sz w:val="28"/>
          <w:szCs w:val="28"/>
          <w:lang w:eastAsia="bs-Latn-BA"/>
        </w:rPr>
        <w:t>-</w:t>
      </w:r>
      <w:r w:rsidR="00EF53AE" w:rsidRPr="002659A3">
        <w:rPr>
          <w:b/>
          <w:color w:val="0070C0"/>
          <w:sz w:val="28"/>
          <w:szCs w:val="28"/>
          <w:lang w:eastAsia="bs-Latn-BA"/>
        </w:rPr>
        <w:t>6</w:t>
      </w:r>
      <w:r w:rsidR="007743D7" w:rsidRPr="002659A3">
        <w:rPr>
          <w:b/>
          <w:color w:val="0070C0"/>
          <w:sz w:val="28"/>
          <w:szCs w:val="28"/>
          <w:lang w:eastAsia="bs-Latn-BA"/>
        </w:rPr>
        <w:t>, 2019</w:t>
      </w:r>
      <w:r w:rsidR="00EF53AE" w:rsidRPr="002659A3">
        <w:rPr>
          <w:b/>
          <w:color w:val="0070C0"/>
          <w:sz w:val="28"/>
          <w:szCs w:val="28"/>
          <w:lang w:eastAsia="bs-Latn-BA"/>
        </w:rPr>
        <w:t xml:space="preserve">, </w:t>
      </w:r>
      <w:r w:rsidR="00407071" w:rsidRPr="002659A3">
        <w:rPr>
          <w:b/>
          <w:color w:val="0070C0"/>
          <w:sz w:val="28"/>
          <w:szCs w:val="28"/>
          <w:lang w:eastAsia="bs-Latn-BA"/>
        </w:rPr>
        <w:t>Paris, France</w:t>
      </w:r>
    </w:p>
    <w:sdt>
      <w:sdtPr>
        <w:rPr>
          <w:rFonts w:ascii="Times New Roman" w:eastAsiaTheme="minorHAnsi" w:hAnsi="Times New Roman" w:cs="Times New Roman"/>
          <w:b w:val="0"/>
          <w:bCs w:val="0"/>
          <w:i/>
          <w:iCs/>
          <w:color w:val="auto"/>
          <w:sz w:val="24"/>
          <w:szCs w:val="24"/>
        </w:rPr>
        <w:id w:val="-140118596"/>
        <w:docPartObj>
          <w:docPartGallery w:val="Table of Contents"/>
          <w:docPartUnique/>
        </w:docPartObj>
      </w:sdtPr>
      <w:sdtEndPr>
        <w:rPr>
          <w:rFonts w:asciiTheme="minorHAnsi" w:eastAsia="Times New Roman" w:hAnsiTheme="minorHAnsi"/>
          <w:b/>
          <w:bCs/>
        </w:rPr>
      </w:sdtEndPr>
      <w:sdtContent>
        <w:p w14:paraId="5F3BFC08" w14:textId="77777777" w:rsidR="005F726F" w:rsidRPr="002659A3" w:rsidRDefault="005F726F" w:rsidP="005F726F">
          <w:pPr>
            <w:pStyle w:val="TOCHeading1"/>
            <w:rPr>
              <w:rFonts w:ascii="Times New Roman" w:hAnsi="Times New Roman" w:cs="Times New Roman"/>
              <w:bCs w:val="0"/>
              <w:sz w:val="2"/>
              <w:szCs w:val="2"/>
            </w:rPr>
          </w:pPr>
        </w:p>
        <w:p w14:paraId="2F5016C4" w14:textId="7C2EC258" w:rsidR="005F726F" w:rsidRPr="002659A3" w:rsidRDefault="005F726F" w:rsidP="005F726F">
          <w:pPr>
            <w:pStyle w:val="TOC1"/>
            <w:tabs>
              <w:tab w:val="left" w:pos="480"/>
              <w:tab w:val="right" w:pos="9782"/>
            </w:tabs>
            <w:spacing w:before="0"/>
            <w:rPr>
              <w:rFonts w:ascii="Times New Roman" w:eastAsiaTheme="minorEastAsia" w:hAnsi="Times New Roman"/>
              <w:i w:val="0"/>
              <w:iCs w:val="0"/>
              <w:sz w:val="20"/>
              <w:szCs w:val="20"/>
            </w:rPr>
          </w:pPr>
          <w:r w:rsidRPr="002659A3">
            <w:rPr>
              <w:i w:val="0"/>
              <w:iCs w:val="0"/>
              <w:sz w:val="22"/>
              <w:szCs w:val="22"/>
            </w:rPr>
            <w:fldChar w:fldCharType="begin"/>
          </w:r>
          <w:r w:rsidRPr="002659A3">
            <w:rPr>
              <w:i w:val="0"/>
              <w:iCs w:val="0"/>
              <w:sz w:val="22"/>
              <w:szCs w:val="22"/>
            </w:rPr>
            <w:instrText xml:space="preserve"> TOC \o "1-3" \h \z \u </w:instrText>
          </w:r>
          <w:r w:rsidRPr="002659A3">
            <w:rPr>
              <w:i w:val="0"/>
              <w:iCs w:val="0"/>
              <w:sz w:val="22"/>
              <w:szCs w:val="22"/>
            </w:rPr>
            <w:fldChar w:fldCharType="separate"/>
          </w:r>
          <w:hyperlink w:anchor="_Toc24897628" w:history="1">
            <w:r w:rsidRPr="002659A3">
              <w:rPr>
                <w:rStyle w:val="Hyperlink"/>
                <w:rFonts w:ascii="Times New Roman" w:hAnsi="Times New Roman"/>
                <w:i w:val="0"/>
                <w:iCs w:val="0"/>
                <w:sz w:val="20"/>
                <w:szCs w:val="20"/>
                <w:lang w:eastAsia="bs-Latn-BA"/>
              </w:rPr>
              <w:t>1.</w:t>
            </w:r>
            <w:r w:rsidRPr="002659A3">
              <w:rPr>
                <w:rFonts w:ascii="Times New Roman" w:eastAsiaTheme="minorEastAsia" w:hAnsi="Times New Roman"/>
                <w:i w:val="0"/>
                <w:iCs w:val="0"/>
                <w:sz w:val="20"/>
                <w:szCs w:val="20"/>
              </w:rPr>
              <w:tab/>
            </w:r>
            <w:r w:rsidRPr="002659A3">
              <w:rPr>
                <w:rStyle w:val="Hyperlink"/>
                <w:rFonts w:ascii="Times New Roman" w:hAnsi="Times New Roman"/>
                <w:i w:val="0"/>
                <w:iCs w:val="0"/>
                <w:sz w:val="20"/>
                <w:szCs w:val="20"/>
                <w:lang w:eastAsia="bs-Latn-BA"/>
              </w:rPr>
              <w:t>Background</w:t>
            </w:r>
            <w:r w:rsidRPr="002659A3">
              <w:rPr>
                <w:rFonts w:ascii="Times New Roman" w:hAnsi="Times New Roman"/>
                <w:i w:val="0"/>
                <w:iCs w:val="0"/>
                <w:webHidden/>
                <w:sz w:val="20"/>
                <w:szCs w:val="20"/>
              </w:rPr>
              <w:tab/>
            </w:r>
            <w:r w:rsidRPr="002659A3">
              <w:rPr>
                <w:rFonts w:ascii="Times New Roman" w:hAnsi="Times New Roman"/>
                <w:i w:val="0"/>
                <w:iCs w:val="0"/>
                <w:webHidden/>
                <w:sz w:val="20"/>
                <w:szCs w:val="20"/>
              </w:rPr>
              <w:fldChar w:fldCharType="begin"/>
            </w:r>
            <w:r w:rsidRPr="002659A3">
              <w:rPr>
                <w:rFonts w:ascii="Times New Roman" w:hAnsi="Times New Roman"/>
                <w:i w:val="0"/>
                <w:iCs w:val="0"/>
                <w:webHidden/>
                <w:sz w:val="20"/>
                <w:szCs w:val="20"/>
              </w:rPr>
              <w:instrText xml:space="preserve"> PAGEREF _Toc24897628 \h </w:instrText>
            </w:r>
            <w:r w:rsidRPr="002659A3">
              <w:rPr>
                <w:rFonts w:ascii="Times New Roman" w:hAnsi="Times New Roman"/>
                <w:i w:val="0"/>
                <w:iCs w:val="0"/>
                <w:webHidden/>
                <w:sz w:val="20"/>
                <w:szCs w:val="20"/>
              </w:rPr>
            </w:r>
            <w:r w:rsidRPr="002659A3">
              <w:rPr>
                <w:rFonts w:ascii="Times New Roman" w:hAnsi="Times New Roman"/>
                <w:i w:val="0"/>
                <w:iCs w:val="0"/>
                <w:webHidden/>
                <w:sz w:val="20"/>
                <w:szCs w:val="20"/>
              </w:rPr>
              <w:fldChar w:fldCharType="separate"/>
            </w:r>
            <w:r w:rsidR="002659A3" w:rsidRPr="002659A3">
              <w:rPr>
                <w:rFonts w:ascii="Times New Roman" w:hAnsi="Times New Roman"/>
                <w:i w:val="0"/>
                <w:iCs w:val="0"/>
                <w:webHidden/>
                <w:sz w:val="20"/>
                <w:szCs w:val="20"/>
              </w:rPr>
              <w:t>1</w:t>
            </w:r>
            <w:r w:rsidRPr="002659A3">
              <w:rPr>
                <w:rFonts w:ascii="Times New Roman" w:hAnsi="Times New Roman"/>
                <w:i w:val="0"/>
                <w:iCs w:val="0"/>
                <w:webHidden/>
                <w:sz w:val="20"/>
                <w:szCs w:val="20"/>
              </w:rPr>
              <w:fldChar w:fldCharType="end"/>
            </w:r>
          </w:hyperlink>
        </w:p>
        <w:p w14:paraId="2E862031" w14:textId="1C86E0CF" w:rsidR="005F726F" w:rsidRPr="002659A3" w:rsidRDefault="00756E53" w:rsidP="005F726F">
          <w:pPr>
            <w:pStyle w:val="TOC1"/>
            <w:tabs>
              <w:tab w:val="left" w:pos="480"/>
              <w:tab w:val="right" w:pos="9782"/>
            </w:tabs>
            <w:spacing w:before="0"/>
            <w:rPr>
              <w:rFonts w:ascii="Times New Roman" w:eastAsiaTheme="minorEastAsia" w:hAnsi="Times New Roman"/>
              <w:i w:val="0"/>
              <w:iCs w:val="0"/>
              <w:sz w:val="20"/>
              <w:szCs w:val="20"/>
            </w:rPr>
          </w:pPr>
          <w:hyperlink w:anchor="_Toc24897629" w:history="1">
            <w:r w:rsidR="005F726F" w:rsidRPr="002659A3">
              <w:rPr>
                <w:rStyle w:val="Hyperlink"/>
                <w:rFonts w:ascii="Times New Roman" w:hAnsi="Times New Roman"/>
                <w:i w:val="0"/>
                <w:iCs w:val="0"/>
                <w:sz w:val="20"/>
                <w:szCs w:val="20"/>
                <w:lang w:eastAsia="bs-Latn-BA"/>
              </w:rPr>
              <w:t>2.</w:t>
            </w:r>
            <w:r w:rsidR="005F726F" w:rsidRPr="002659A3">
              <w:rPr>
                <w:rFonts w:ascii="Times New Roman" w:eastAsiaTheme="minorEastAsia" w:hAnsi="Times New Roman"/>
                <w:i w:val="0"/>
                <w:iCs w:val="0"/>
                <w:sz w:val="20"/>
                <w:szCs w:val="20"/>
              </w:rPr>
              <w:tab/>
            </w:r>
            <w:r w:rsidR="005F726F" w:rsidRPr="002659A3">
              <w:rPr>
                <w:rStyle w:val="Hyperlink"/>
                <w:rFonts w:ascii="Times New Roman" w:hAnsi="Times New Roman"/>
                <w:i w:val="0"/>
                <w:iCs w:val="0"/>
                <w:sz w:val="20"/>
                <w:szCs w:val="20"/>
                <w:lang w:eastAsia="bs-Latn-BA"/>
              </w:rPr>
              <w:t>Capturing Citizens’ Satisfaction, Perceptions, and Engagement in Performance Indicators</w:t>
            </w:r>
            <w:r w:rsidR="005F726F" w:rsidRPr="002659A3">
              <w:rPr>
                <w:rFonts w:ascii="Times New Roman" w:hAnsi="Times New Roman"/>
                <w:i w:val="0"/>
                <w:iCs w:val="0"/>
                <w:webHidden/>
                <w:sz w:val="20"/>
                <w:szCs w:val="20"/>
              </w:rPr>
              <w:tab/>
            </w:r>
            <w:r w:rsidR="005F726F" w:rsidRPr="002659A3">
              <w:rPr>
                <w:rFonts w:ascii="Times New Roman" w:hAnsi="Times New Roman"/>
                <w:i w:val="0"/>
                <w:iCs w:val="0"/>
                <w:webHidden/>
                <w:sz w:val="20"/>
                <w:szCs w:val="20"/>
              </w:rPr>
              <w:fldChar w:fldCharType="begin"/>
            </w:r>
            <w:r w:rsidR="005F726F" w:rsidRPr="002659A3">
              <w:rPr>
                <w:rFonts w:ascii="Times New Roman" w:hAnsi="Times New Roman"/>
                <w:i w:val="0"/>
                <w:iCs w:val="0"/>
                <w:webHidden/>
                <w:sz w:val="20"/>
                <w:szCs w:val="20"/>
              </w:rPr>
              <w:instrText xml:space="preserve"> PAGEREF _Toc24897629 \h </w:instrText>
            </w:r>
            <w:r w:rsidR="005F726F" w:rsidRPr="002659A3">
              <w:rPr>
                <w:rFonts w:ascii="Times New Roman" w:hAnsi="Times New Roman"/>
                <w:i w:val="0"/>
                <w:iCs w:val="0"/>
                <w:webHidden/>
                <w:sz w:val="20"/>
                <w:szCs w:val="20"/>
              </w:rPr>
            </w:r>
            <w:r w:rsidR="005F726F" w:rsidRPr="002659A3">
              <w:rPr>
                <w:rFonts w:ascii="Times New Roman" w:hAnsi="Times New Roman"/>
                <w:i w:val="0"/>
                <w:iCs w:val="0"/>
                <w:webHidden/>
                <w:sz w:val="20"/>
                <w:szCs w:val="20"/>
              </w:rPr>
              <w:fldChar w:fldCharType="separate"/>
            </w:r>
            <w:r w:rsidR="002659A3" w:rsidRPr="002659A3">
              <w:rPr>
                <w:rFonts w:ascii="Times New Roman" w:hAnsi="Times New Roman"/>
                <w:i w:val="0"/>
                <w:iCs w:val="0"/>
                <w:webHidden/>
                <w:sz w:val="20"/>
                <w:szCs w:val="20"/>
              </w:rPr>
              <w:t>1</w:t>
            </w:r>
            <w:r w:rsidR="005F726F" w:rsidRPr="002659A3">
              <w:rPr>
                <w:rFonts w:ascii="Times New Roman" w:hAnsi="Times New Roman"/>
                <w:i w:val="0"/>
                <w:iCs w:val="0"/>
                <w:webHidden/>
                <w:sz w:val="20"/>
                <w:szCs w:val="20"/>
              </w:rPr>
              <w:fldChar w:fldCharType="end"/>
            </w:r>
          </w:hyperlink>
        </w:p>
        <w:p w14:paraId="6A8DBA1C" w14:textId="0A90419E" w:rsidR="005F726F" w:rsidRPr="002659A3" w:rsidRDefault="00756E53" w:rsidP="005F726F">
          <w:pPr>
            <w:pStyle w:val="TOC1"/>
            <w:tabs>
              <w:tab w:val="right" w:pos="9782"/>
            </w:tabs>
            <w:spacing w:before="0"/>
            <w:ind w:left="540"/>
            <w:rPr>
              <w:rFonts w:ascii="Times New Roman" w:eastAsiaTheme="minorEastAsia" w:hAnsi="Times New Roman"/>
              <w:b w:val="0"/>
              <w:bCs w:val="0"/>
              <w:i w:val="0"/>
              <w:iCs w:val="0"/>
              <w:color w:val="538135" w:themeColor="accent6" w:themeShade="BF"/>
              <w:sz w:val="20"/>
              <w:szCs w:val="20"/>
            </w:rPr>
          </w:pPr>
          <w:hyperlink w:anchor="_Toc24897630" w:history="1">
            <w:r w:rsidR="005F726F" w:rsidRPr="002659A3">
              <w:rPr>
                <w:rStyle w:val="Hyperlink"/>
                <w:rFonts w:ascii="Times New Roman" w:hAnsi="Times New Roman"/>
                <w:b w:val="0"/>
                <w:bCs w:val="0"/>
                <w:i w:val="0"/>
                <w:iCs w:val="0"/>
                <w:color w:val="538135" w:themeColor="accent6" w:themeShade="BF"/>
                <w:sz w:val="20"/>
                <w:szCs w:val="20"/>
              </w:rPr>
              <w:t>How Does the World Bank Approach Citizen Engagement in Its Interventions?</w:t>
            </w:r>
            <w:r w:rsidR="005F726F" w:rsidRPr="002659A3">
              <w:rPr>
                <w:rFonts w:ascii="Times New Roman" w:hAnsi="Times New Roman"/>
                <w:b w:val="0"/>
                <w:bCs w:val="0"/>
                <w:i w:val="0"/>
                <w:iCs w:val="0"/>
                <w:webHidden/>
                <w:color w:val="538135" w:themeColor="accent6" w:themeShade="BF"/>
                <w:sz w:val="20"/>
                <w:szCs w:val="20"/>
              </w:rPr>
              <w:tab/>
            </w:r>
            <w:r w:rsidR="005F726F" w:rsidRPr="002659A3">
              <w:rPr>
                <w:rFonts w:ascii="Times New Roman" w:hAnsi="Times New Roman"/>
                <w:b w:val="0"/>
                <w:bCs w:val="0"/>
                <w:i w:val="0"/>
                <w:iCs w:val="0"/>
                <w:webHidden/>
                <w:color w:val="538135" w:themeColor="accent6" w:themeShade="BF"/>
                <w:sz w:val="20"/>
                <w:szCs w:val="20"/>
              </w:rPr>
              <w:fldChar w:fldCharType="begin"/>
            </w:r>
            <w:r w:rsidR="005F726F" w:rsidRPr="002659A3">
              <w:rPr>
                <w:rFonts w:ascii="Times New Roman" w:hAnsi="Times New Roman"/>
                <w:b w:val="0"/>
                <w:bCs w:val="0"/>
                <w:i w:val="0"/>
                <w:iCs w:val="0"/>
                <w:webHidden/>
                <w:color w:val="538135" w:themeColor="accent6" w:themeShade="BF"/>
                <w:sz w:val="20"/>
                <w:szCs w:val="20"/>
              </w:rPr>
              <w:instrText xml:space="preserve"> PAGEREF _Toc24897630 \h </w:instrText>
            </w:r>
            <w:r w:rsidR="005F726F" w:rsidRPr="002659A3">
              <w:rPr>
                <w:rFonts w:ascii="Times New Roman" w:hAnsi="Times New Roman"/>
                <w:b w:val="0"/>
                <w:bCs w:val="0"/>
                <w:i w:val="0"/>
                <w:iCs w:val="0"/>
                <w:webHidden/>
                <w:color w:val="538135" w:themeColor="accent6" w:themeShade="BF"/>
                <w:sz w:val="20"/>
                <w:szCs w:val="20"/>
              </w:rPr>
            </w:r>
            <w:r w:rsidR="005F726F" w:rsidRPr="002659A3">
              <w:rPr>
                <w:rFonts w:ascii="Times New Roman" w:hAnsi="Times New Roman"/>
                <w:b w:val="0"/>
                <w:bCs w:val="0"/>
                <w:i w:val="0"/>
                <w:iCs w:val="0"/>
                <w:webHidden/>
                <w:color w:val="538135" w:themeColor="accent6" w:themeShade="BF"/>
                <w:sz w:val="20"/>
                <w:szCs w:val="20"/>
              </w:rPr>
              <w:fldChar w:fldCharType="separate"/>
            </w:r>
            <w:r w:rsidR="002659A3" w:rsidRPr="002659A3">
              <w:rPr>
                <w:rFonts w:ascii="Times New Roman" w:hAnsi="Times New Roman"/>
                <w:b w:val="0"/>
                <w:bCs w:val="0"/>
                <w:i w:val="0"/>
                <w:iCs w:val="0"/>
                <w:webHidden/>
                <w:color w:val="538135" w:themeColor="accent6" w:themeShade="BF"/>
                <w:sz w:val="20"/>
                <w:szCs w:val="20"/>
              </w:rPr>
              <w:t>2</w:t>
            </w:r>
            <w:r w:rsidR="005F726F" w:rsidRPr="002659A3">
              <w:rPr>
                <w:rFonts w:ascii="Times New Roman" w:hAnsi="Times New Roman"/>
                <w:b w:val="0"/>
                <w:bCs w:val="0"/>
                <w:i w:val="0"/>
                <w:iCs w:val="0"/>
                <w:webHidden/>
                <w:color w:val="538135" w:themeColor="accent6" w:themeShade="BF"/>
                <w:sz w:val="20"/>
                <w:szCs w:val="20"/>
              </w:rPr>
              <w:fldChar w:fldCharType="end"/>
            </w:r>
          </w:hyperlink>
        </w:p>
        <w:p w14:paraId="5A29BADB" w14:textId="3FC6303E" w:rsidR="005F726F" w:rsidRPr="002659A3" w:rsidRDefault="00756E53" w:rsidP="005F726F">
          <w:pPr>
            <w:pStyle w:val="TOC1"/>
            <w:tabs>
              <w:tab w:val="right" w:pos="9782"/>
            </w:tabs>
            <w:spacing w:before="0"/>
            <w:ind w:left="540"/>
            <w:rPr>
              <w:rFonts w:ascii="Times New Roman" w:eastAsiaTheme="minorEastAsia" w:hAnsi="Times New Roman"/>
              <w:b w:val="0"/>
              <w:bCs w:val="0"/>
              <w:i w:val="0"/>
              <w:iCs w:val="0"/>
              <w:color w:val="538135" w:themeColor="accent6" w:themeShade="BF"/>
              <w:sz w:val="20"/>
              <w:szCs w:val="20"/>
            </w:rPr>
          </w:pPr>
          <w:hyperlink w:anchor="_Toc24897631" w:history="1">
            <w:r w:rsidR="005F726F" w:rsidRPr="002659A3">
              <w:rPr>
                <w:rStyle w:val="Hyperlink"/>
                <w:rFonts w:ascii="Times New Roman" w:hAnsi="Times New Roman"/>
                <w:b w:val="0"/>
                <w:bCs w:val="0"/>
                <w:i w:val="0"/>
                <w:iCs w:val="0"/>
                <w:color w:val="538135" w:themeColor="accent6" w:themeShade="BF"/>
                <w:sz w:val="20"/>
                <w:szCs w:val="20"/>
              </w:rPr>
              <w:t>What are Practices and Trends in Capturing Citizens’ Satisfaction and Perceptions in OECD Countries?</w:t>
            </w:r>
            <w:r w:rsidR="005F726F" w:rsidRPr="002659A3">
              <w:rPr>
                <w:rFonts w:ascii="Times New Roman" w:hAnsi="Times New Roman"/>
                <w:b w:val="0"/>
                <w:bCs w:val="0"/>
                <w:i w:val="0"/>
                <w:iCs w:val="0"/>
                <w:webHidden/>
                <w:color w:val="538135" w:themeColor="accent6" w:themeShade="BF"/>
                <w:sz w:val="20"/>
                <w:szCs w:val="20"/>
              </w:rPr>
              <w:tab/>
            </w:r>
            <w:r w:rsidR="005F726F" w:rsidRPr="002659A3">
              <w:rPr>
                <w:rFonts w:ascii="Times New Roman" w:hAnsi="Times New Roman"/>
                <w:b w:val="0"/>
                <w:bCs w:val="0"/>
                <w:i w:val="0"/>
                <w:iCs w:val="0"/>
                <w:webHidden/>
                <w:color w:val="538135" w:themeColor="accent6" w:themeShade="BF"/>
                <w:sz w:val="20"/>
                <w:szCs w:val="20"/>
              </w:rPr>
              <w:fldChar w:fldCharType="begin"/>
            </w:r>
            <w:r w:rsidR="005F726F" w:rsidRPr="002659A3">
              <w:rPr>
                <w:rFonts w:ascii="Times New Roman" w:hAnsi="Times New Roman"/>
                <w:b w:val="0"/>
                <w:bCs w:val="0"/>
                <w:i w:val="0"/>
                <w:iCs w:val="0"/>
                <w:webHidden/>
                <w:color w:val="538135" w:themeColor="accent6" w:themeShade="BF"/>
                <w:sz w:val="20"/>
                <w:szCs w:val="20"/>
              </w:rPr>
              <w:instrText xml:space="preserve"> PAGEREF _Toc24897631 \h </w:instrText>
            </w:r>
            <w:r w:rsidR="005F726F" w:rsidRPr="002659A3">
              <w:rPr>
                <w:rFonts w:ascii="Times New Roman" w:hAnsi="Times New Roman"/>
                <w:b w:val="0"/>
                <w:bCs w:val="0"/>
                <w:i w:val="0"/>
                <w:iCs w:val="0"/>
                <w:webHidden/>
                <w:color w:val="538135" w:themeColor="accent6" w:themeShade="BF"/>
                <w:sz w:val="20"/>
                <w:szCs w:val="20"/>
              </w:rPr>
            </w:r>
            <w:r w:rsidR="005F726F" w:rsidRPr="002659A3">
              <w:rPr>
                <w:rFonts w:ascii="Times New Roman" w:hAnsi="Times New Roman"/>
                <w:b w:val="0"/>
                <w:bCs w:val="0"/>
                <w:i w:val="0"/>
                <w:iCs w:val="0"/>
                <w:webHidden/>
                <w:color w:val="538135" w:themeColor="accent6" w:themeShade="BF"/>
                <w:sz w:val="20"/>
                <w:szCs w:val="20"/>
              </w:rPr>
              <w:fldChar w:fldCharType="separate"/>
            </w:r>
            <w:r w:rsidR="002659A3" w:rsidRPr="002659A3">
              <w:rPr>
                <w:rFonts w:ascii="Times New Roman" w:hAnsi="Times New Roman"/>
                <w:b w:val="0"/>
                <w:bCs w:val="0"/>
                <w:i w:val="0"/>
                <w:iCs w:val="0"/>
                <w:webHidden/>
                <w:color w:val="538135" w:themeColor="accent6" w:themeShade="BF"/>
                <w:sz w:val="20"/>
                <w:szCs w:val="20"/>
              </w:rPr>
              <w:t>2</w:t>
            </w:r>
            <w:r w:rsidR="005F726F" w:rsidRPr="002659A3">
              <w:rPr>
                <w:rFonts w:ascii="Times New Roman" w:hAnsi="Times New Roman"/>
                <w:b w:val="0"/>
                <w:bCs w:val="0"/>
                <w:i w:val="0"/>
                <w:iCs w:val="0"/>
                <w:webHidden/>
                <w:color w:val="538135" w:themeColor="accent6" w:themeShade="BF"/>
                <w:sz w:val="20"/>
                <w:szCs w:val="20"/>
              </w:rPr>
              <w:fldChar w:fldCharType="end"/>
            </w:r>
          </w:hyperlink>
        </w:p>
        <w:p w14:paraId="0DF258F9" w14:textId="3D36AE44" w:rsidR="005F726F" w:rsidRPr="002659A3" w:rsidRDefault="00756E53" w:rsidP="005F726F">
          <w:pPr>
            <w:pStyle w:val="TOC1"/>
            <w:tabs>
              <w:tab w:val="right" w:pos="9782"/>
            </w:tabs>
            <w:spacing w:before="0"/>
            <w:ind w:left="540"/>
            <w:rPr>
              <w:rFonts w:ascii="Times New Roman" w:eastAsiaTheme="minorEastAsia" w:hAnsi="Times New Roman"/>
              <w:b w:val="0"/>
              <w:bCs w:val="0"/>
              <w:i w:val="0"/>
              <w:iCs w:val="0"/>
              <w:color w:val="538135" w:themeColor="accent6" w:themeShade="BF"/>
              <w:sz w:val="20"/>
              <w:szCs w:val="20"/>
            </w:rPr>
          </w:pPr>
          <w:hyperlink w:anchor="_Toc24897632" w:history="1">
            <w:r w:rsidR="005F726F" w:rsidRPr="002659A3">
              <w:rPr>
                <w:rStyle w:val="Hyperlink"/>
                <w:rFonts w:ascii="Times New Roman" w:hAnsi="Times New Roman"/>
                <w:b w:val="0"/>
                <w:bCs w:val="0"/>
                <w:i w:val="0"/>
                <w:iCs w:val="0"/>
                <w:color w:val="538135" w:themeColor="accent6" w:themeShade="BF"/>
                <w:sz w:val="20"/>
                <w:szCs w:val="20"/>
              </w:rPr>
              <w:t>How Are Users’ Views Captured in Performance Indicators in France?</w:t>
            </w:r>
            <w:r w:rsidR="005F726F" w:rsidRPr="002659A3">
              <w:rPr>
                <w:rFonts w:ascii="Times New Roman" w:hAnsi="Times New Roman"/>
                <w:b w:val="0"/>
                <w:bCs w:val="0"/>
                <w:i w:val="0"/>
                <w:iCs w:val="0"/>
                <w:webHidden/>
                <w:color w:val="538135" w:themeColor="accent6" w:themeShade="BF"/>
                <w:sz w:val="20"/>
                <w:szCs w:val="20"/>
              </w:rPr>
              <w:tab/>
            </w:r>
            <w:r w:rsidR="005F726F" w:rsidRPr="002659A3">
              <w:rPr>
                <w:rFonts w:ascii="Times New Roman" w:hAnsi="Times New Roman"/>
                <w:b w:val="0"/>
                <w:bCs w:val="0"/>
                <w:i w:val="0"/>
                <w:iCs w:val="0"/>
                <w:webHidden/>
                <w:color w:val="538135" w:themeColor="accent6" w:themeShade="BF"/>
                <w:sz w:val="20"/>
                <w:szCs w:val="20"/>
              </w:rPr>
              <w:fldChar w:fldCharType="begin"/>
            </w:r>
            <w:r w:rsidR="005F726F" w:rsidRPr="002659A3">
              <w:rPr>
                <w:rFonts w:ascii="Times New Roman" w:hAnsi="Times New Roman"/>
                <w:b w:val="0"/>
                <w:bCs w:val="0"/>
                <w:i w:val="0"/>
                <w:iCs w:val="0"/>
                <w:webHidden/>
                <w:color w:val="538135" w:themeColor="accent6" w:themeShade="BF"/>
                <w:sz w:val="20"/>
                <w:szCs w:val="20"/>
              </w:rPr>
              <w:instrText xml:space="preserve"> PAGEREF _Toc24897632 \h </w:instrText>
            </w:r>
            <w:r w:rsidR="005F726F" w:rsidRPr="002659A3">
              <w:rPr>
                <w:rFonts w:ascii="Times New Roman" w:hAnsi="Times New Roman"/>
                <w:b w:val="0"/>
                <w:bCs w:val="0"/>
                <w:i w:val="0"/>
                <w:iCs w:val="0"/>
                <w:webHidden/>
                <w:color w:val="538135" w:themeColor="accent6" w:themeShade="BF"/>
                <w:sz w:val="20"/>
                <w:szCs w:val="20"/>
              </w:rPr>
            </w:r>
            <w:r w:rsidR="005F726F" w:rsidRPr="002659A3">
              <w:rPr>
                <w:rFonts w:ascii="Times New Roman" w:hAnsi="Times New Roman"/>
                <w:b w:val="0"/>
                <w:bCs w:val="0"/>
                <w:i w:val="0"/>
                <w:iCs w:val="0"/>
                <w:webHidden/>
                <w:color w:val="538135" w:themeColor="accent6" w:themeShade="BF"/>
                <w:sz w:val="20"/>
                <w:szCs w:val="20"/>
              </w:rPr>
              <w:fldChar w:fldCharType="separate"/>
            </w:r>
            <w:r w:rsidR="002659A3" w:rsidRPr="002659A3">
              <w:rPr>
                <w:rFonts w:ascii="Times New Roman" w:hAnsi="Times New Roman"/>
                <w:b w:val="0"/>
                <w:bCs w:val="0"/>
                <w:i w:val="0"/>
                <w:iCs w:val="0"/>
                <w:webHidden/>
                <w:color w:val="538135" w:themeColor="accent6" w:themeShade="BF"/>
                <w:sz w:val="20"/>
                <w:szCs w:val="20"/>
              </w:rPr>
              <w:t>3</w:t>
            </w:r>
            <w:r w:rsidR="005F726F" w:rsidRPr="002659A3">
              <w:rPr>
                <w:rFonts w:ascii="Times New Roman" w:hAnsi="Times New Roman"/>
                <w:b w:val="0"/>
                <w:bCs w:val="0"/>
                <w:i w:val="0"/>
                <w:iCs w:val="0"/>
                <w:webHidden/>
                <w:color w:val="538135" w:themeColor="accent6" w:themeShade="BF"/>
                <w:sz w:val="20"/>
                <w:szCs w:val="20"/>
              </w:rPr>
              <w:fldChar w:fldCharType="end"/>
            </w:r>
          </w:hyperlink>
        </w:p>
        <w:p w14:paraId="254C1423" w14:textId="3DDBD6B9" w:rsidR="005F726F" w:rsidRPr="002659A3" w:rsidRDefault="00756E53" w:rsidP="005F726F">
          <w:pPr>
            <w:pStyle w:val="TOC1"/>
            <w:tabs>
              <w:tab w:val="right" w:pos="9782"/>
            </w:tabs>
            <w:spacing w:before="0"/>
            <w:ind w:left="540"/>
            <w:rPr>
              <w:rFonts w:ascii="Times New Roman" w:eastAsiaTheme="minorEastAsia" w:hAnsi="Times New Roman"/>
              <w:b w:val="0"/>
              <w:bCs w:val="0"/>
              <w:i w:val="0"/>
              <w:iCs w:val="0"/>
              <w:color w:val="538135" w:themeColor="accent6" w:themeShade="BF"/>
              <w:sz w:val="20"/>
              <w:szCs w:val="20"/>
            </w:rPr>
          </w:pPr>
          <w:hyperlink w:anchor="_Toc24897633" w:history="1">
            <w:r w:rsidR="005F726F" w:rsidRPr="002659A3">
              <w:rPr>
                <w:rStyle w:val="Hyperlink"/>
                <w:rFonts w:ascii="Times New Roman" w:hAnsi="Times New Roman"/>
                <w:b w:val="0"/>
                <w:bCs w:val="0"/>
                <w:i w:val="0"/>
                <w:iCs w:val="0"/>
                <w:color w:val="538135" w:themeColor="accent6" w:themeShade="BF"/>
                <w:sz w:val="20"/>
                <w:szCs w:val="20"/>
              </w:rPr>
              <w:t>How are Citizens’ Satisfaction and Experiences Measured in Canada?</w:t>
            </w:r>
            <w:r w:rsidR="005F726F" w:rsidRPr="002659A3">
              <w:rPr>
                <w:rFonts w:ascii="Times New Roman" w:hAnsi="Times New Roman"/>
                <w:b w:val="0"/>
                <w:bCs w:val="0"/>
                <w:i w:val="0"/>
                <w:iCs w:val="0"/>
                <w:webHidden/>
                <w:color w:val="538135" w:themeColor="accent6" w:themeShade="BF"/>
                <w:sz w:val="20"/>
                <w:szCs w:val="20"/>
              </w:rPr>
              <w:tab/>
            </w:r>
            <w:r w:rsidR="005F726F" w:rsidRPr="002659A3">
              <w:rPr>
                <w:rFonts w:ascii="Times New Roman" w:hAnsi="Times New Roman"/>
                <w:b w:val="0"/>
                <w:bCs w:val="0"/>
                <w:i w:val="0"/>
                <w:iCs w:val="0"/>
                <w:webHidden/>
                <w:color w:val="538135" w:themeColor="accent6" w:themeShade="BF"/>
                <w:sz w:val="20"/>
                <w:szCs w:val="20"/>
              </w:rPr>
              <w:fldChar w:fldCharType="begin"/>
            </w:r>
            <w:r w:rsidR="005F726F" w:rsidRPr="002659A3">
              <w:rPr>
                <w:rFonts w:ascii="Times New Roman" w:hAnsi="Times New Roman"/>
                <w:b w:val="0"/>
                <w:bCs w:val="0"/>
                <w:i w:val="0"/>
                <w:iCs w:val="0"/>
                <w:webHidden/>
                <w:color w:val="538135" w:themeColor="accent6" w:themeShade="BF"/>
                <w:sz w:val="20"/>
                <w:szCs w:val="20"/>
              </w:rPr>
              <w:instrText xml:space="preserve"> PAGEREF _Toc24897633 \h </w:instrText>
            </w:r>
            <w:r w:rsidR="005F726F" w:rsidRPr="002659A3">
              <w:rPr>
                <w:rFonts w:ascii="Times New Roman" w:hAnsi="Times New Roman"/>
                <w:b w:val="0"/>
                <w:bCs w:val="0"/>
                <w:i w:val="0"/>
                <w:iCs w:val="0"/>
                <w:webHidden/>
                <w:color w:val="538135" w:themeColor="accent6" w:themeShade="BF"/>
                <w:sz w:val="20"/>
                <w:szCs w:val="20"/>
              </w:rPr>
            </w:r>
            <w:r w:rsidR="005F726F" w:rsidRPr="002659A3">
              <w:rPr>
                <w:rFonts w:ascii="Times New Roman" w:hAnsi="Times New Roman"/>
                <w:b w:val="0"/>
                <w:bCs w:val="0"/>
                <w:i w:val="0"/>
                <w:iCs w:val="0"/>
                <w:webHidden/>
                <w:color w:val="538135" w:themeColor="accent6" w:themeShade="BF"/>
                <w:sz w:val="20"/>
                <w:szCs w:val="20"/>
              </w:rPr>
              <w:fldChar w:fldCharType="separate"/>
            </w:r>
            <w:r w:rsidR="002659A3" w:rsidRPr="002659A3">
              <w:rPr>
                <w:rFonts w:ascii="Times New Roman" w:hAnsi="Times New Roman"/>
                <w:b w:val="0"/>
                <w:bCs w:val="0"/>
                <w:i w:val="0"/>
                <w:iCs w:val="0"/>
                <w:webHidden/>
                <w:color w:val="538135" w:themeColor="accent6" w:themeShade="BF"/>
                <w:sz w:val="20"/>
                <w:szCs w:val="20"/>
              </w:rPr>
              <w:t>4</w:t>
            </w:r>
            <w:r w:rsidR="005F726F" w:rsidRPr="002659A3">
              <w:rPr>
                <w:rFonts w:ascii="Times New Roman" w:hAnsi="Times New Roman"/>
                <w:b w:val="0"/>
                <w:bCs w:val="0"/>
                <w:i w:val="0"/>
                <w:iCs w:val="0"/>
                <w:webHidden/>
                <w:color w:val="538135" w:themeColor="accent6" w:themeShade="BF"/>
                <w:sz w:val="20"/>
                <w:szCs w:val="20"/>
              </w:rPr>
              <w:fldChar w:fldCharType="end"/>
            </w:r>
          </w:hyperlink>
        </w:p>
        <w:p w14:paraId="72AD47B9" w14:textId="4FE972D8" w:rsidR="005F726F" w:rsidRPr="002659A3" w:rsidRDefault="00756E53" w:rsidP="005F726F">
          <w:pPr>
            <w:pStyle w:val="TOC1"/>
            <w:tabs>
              <w:tab w:val="left" w:pos="480"/>
              <w:tab w:val="right" w:pos="9782"/>
            </w:tabs>
            <w:spacing w:before="0"/>
            <w:rPr>
              <w:rFonts w:ascii="Times New Roman" w:eastAsiaTheme="minorEastAsia" w:hAnsi="Times New Roman"/>
              <w:i w:val="0"/>
              <w:iCs w:val="0"/>
              <w:sz w:val="20"/>
              <w:szCs w:val="20"/>
            </w:rPr>
          </w:pPr>
          <w:hyperlink w:anchor="_Toc24897634" w:history="1">
            <w:r w:rsidR="005F726F" w:rsidRPr="002659A3">
              <w:rPr>
                <w:rStyle w:val="Hyperlink"/>
                <w:rFonts w:ascii="Times New Roman" w:hAnsi="Times New Roman"/>
                <w:i w:val="0"/>
                <w:iCs w:val="0"/>
                <w:sz w:val="20"/>
                <w:szCs w:val="20"/>
                <w:lang w:eastAsia="bs-Latn-BA"/>
              </w:rPr>
              <w:t>3.</w:t>
            </w:r>
            <w:r w:rsidR="005F726F" w:rsidRPr="002659A3">
              <w:rPr>
                <w:rFonts w:ascii="Times New Roman" w:eastAsiaTheme="minorEastAsia" w:hAnsi="Times New Roman"/>
                <w:i w:val="0"/>
                <w:iCs w:val="0"/>
                <w:sz w:val="20"/>
                <w:szCs w:val="20"/>
              </w:rPr>
              <w:tab/>
            </w:r>
            <w:r w:rsidR="005F726F" w:rsidRPr="002659A3">
              <w:rPr>
                <w:rStyle w:val="Hyperlink"/>
                <w:rFonts w:ascii="Times New Roman" w:hAnsi="Times New Roman"/>
                <w:i w:val="0"/>
                <w:iCs w:val="0"/>
                <w:sz w:val="20"/>
                <w:szCs w:val="20"/>
                <w:lang w:eastAsia="bs-Latn-BA"/>
              </w:rPr>
              <w:t>Spending Reviews: Methodology and Process in Advanced Countries</w:t>
            </w:r>
            <w:r w:rsidR="005F726F" w:rsidRPr="002659A3">
              <w:rPr>
                <w:rFonts w:ascii="Times New Roman" w:hAnsi="Times New Roman"/>
                <w:i w:val="0"/>
                <w:iCs w:val="0"/>
                <w:webHidden/>
                <w:sz w:val="20"/>
                <w:szCs w:val="20"/>
              </w:rPr>
              <w:tab/>
            </w:r>
            <w:r w:rsidR="005F726F" w:rsidRPr="002659A3">
              <w:rPr>
                <w:rFonts w:ascii="Times New Roman" w:hAnsi="Times New Roman"/>
                <w:i w:val="0"/>
                <w:iCs w:val="0"/>
                <w:webHidden/>
                <w:sz w:val="20"/>
                <w:szCs w:val="20"/>
              </w:rPr>
              <w:fldChar w:fldCharType="begin"/>
            </w:r>
            <w:r w:rsidR="005F726F" w:rsidRPr="002659A3">
              <w:rPr>
                <w:rFonts w:ascii="Times New Roman" w:hAnsi="Times New Roman"/>
                <w:i w:val="0"/>
                <w:iCs w:val="0"/>
                <w:webHidden/>
                <w:sz w:val="20"/>
                <w:szCs w:val="20"/>
              </w:rPr>
              <w:instrText xml:space="preserve"> PAGEREF _Toc24897634 \h </w:instrText>
            </w:r>
            <w:r w:rsidR="005F726F" w:rsidRPr="002659A3">
              <w:rPr>
                <w:rFonts w:ascii="Times New Roman" w:hAnsi="Times New Roman"/>
                <w:i w:val="0"/>
                <w:iCs w:val="0"/>
                <w:webHidden/>
                <w:sz w:val="20"/>
                <w:szCs w:val="20"/>
              </w:rPr>
            </w:r>
            <w:r w:rsidR="005F726F" w:rsidRPr="002659A3">
              <w:rPr>
                <w:rFonts w:ascii="Times New Roman" w:hAnsi="Times New Roman"/>
                <w:i w:val="0"/>
                <w:iCs w:val="0"/>
                <w:webHidden/>
                <w:sz w:val="20"/>
                <w:szCs w:val="20"/>
              </w:rPr>
              <w:fldChar w:fldCharType="separate"/>
            </w:r>
            <w:r w:rsidR="002659A3" w:rsidRPr="002659A3">
              <w:rPr>
                <w:rFonts w:ascii="Times New Roman" w:hAnsi="Times New Roman"/>
                <w:i w:val="0"/>
                <w:iCs w:val="0"/>
                <w:webHidden/>
                <w:sz w:val="20"/>
                <w:szCs w:val="20"/>
              </w:rPr>
              <w:t>5</w:t>
            </w:r>
            <w:r w:rsidR="005F726F" w:rsidRPr="002659A3">
              <w:rPr>
                <w:rFonts w:ascii="Times New Roman" w:hAnsi="Times New Roman"/>
                <w:i w:val="0"/>
                <w:iCs w:val="0"/>
                <w:webHidden/>
                <w:sz w:val="20"/>
                <w:szCs w:val="20"/>
              </w:rPr>
              <w:fldChar w:fldCharType="end"/>
            </w:r>
          </w:hyperlink>
        </w:p>
        <w:p w14:paraId="7CA56935" w14:textId="51FA3898" w:rsidR="005F726F" w:rsidRPr="002659A3" w:rsidRDefault="00756E53" w:rsidP="005F726F">
          <w:pPr>
            <w:pStyle w:val="TOC1"/>
            <w:tabs>
              <w:tab w:val="right" w:pos="9782"/>
            </w:tabs>
            <w:snapToGrid w:val="0"/>
            <w:spacing w:before="0"/>
            <w:ind w:left="547"/>
            <w:contextualSpacing/>
            <w:rPr>
              <w:rStyle w:val="Hyperlink"/>
              <w:rFonts w:ascii="Times New Roman" w:hAnsi="Times New Roman"/>
              <w:b w:val="0"/>
              <w:bCs w:val="0"/>
              <w:i w:val="0"/>
              <w:iCs w:val="0"/>
              <w:color w:val="538135" w:themeColor="accent6" w:themeShade="BF"/>
              <w:sz w:val="20"/>
              <w:szCs w:val="20"/>
            </w:rPr>
          </w:pPr>
          <w:hyperlink w:anchor="_Toc24897635" w:history="1">
            <w:r w:rsidR="005F726F" w:rsidRPr="002659A3">
              <w:rPr>
                <w:rStyle w:val="Hyperlink"/>
                <w:rFonts w:ascii="Times New Roman" w:hAnsi="Times New Roman"/>
                <w:b w:val="0"/>
                <w:bCs w:val="0"/>
                <w:i w:val="0"/>
                <w:iCs w:val="0"/>
                <w:color w:val="538135" w:themeColor="accent6" w:themeShade="BF"/>
                <w:sz w:val="20"/>
                <w:szCs w:val="20"/>
              </w:rPr>
              <w:t>How Does the World Bank Conducts Its Public Expenditure Reviews?</w:t>
            </w:r>
            <w:r w:rsidR="005F726F" w:rsidRPr="002659A3">
              <w:rPr>
                <w:rStyle w:val="Hyperlink"/>
                <w:rFonts w:ascii="Times New Roman" w:hAnsi="Times New Roman"/>
                <w:b w:val="0"/>
                <w:bCs w:val="0"/>
                <w:i w:val="0"/>
                <w:iCs w:val="0"/>
                <w:webHidden/>
                <w:color w:val="538135" w:themeColor="accent6" w:themeShade="BF"/>
                <w:sz w:val="20"/>
                <w:szCs w:val="20"/>
              </w:rPr>
              <w:tab/>
            </w:r>
            <w:r w:rsidR="005F726F" w:rsidRPr="002659A3">
              <w:rPr>
                <w:rStyle w:val="Hyperlink"/>
                <w:rFonts w:ascii="Times New Roman" w:hAnsi="Times New Roman"/>
                <w:b w:val="0"/>
                <w:bCs w:val="0"/>
                <w:i w:val="0"/>
                <w:iCs w:val="0"/>
                <w:webHidden/>
                <w:color w:val="538135" w:themeColor="accent6" w:themeShade="BF"/>
                <w:sz w:val="20"/>
                <w:szCs w:val="20"/>
              </w:rPr>
              <w:fldChar w:fldCharType="begin"/>
            </w:r>
            <w:r w:rsidR="005F726F" w:rsidRPr="002659A3">
              <w:rPr>
                <w:rStyle w:val="Hyperlink"/>
                <w:rFonts w:ascii="Times New Roman" w:hAnsi="Times New Roman"/>
                <w:b w:val="0"/>
                <w:bCs w:val="0"/>
                <w:i w:val="0"/>
                <w:iCs w:val="0"/>
                <w:webHidden/>
                <w:color w:val="538135" w:themeColor="accent6" w:themeShade="BF"/>
                <w:sz w:val="20"/>
                <w:szCs w:val="20"/>
              </w:rPr>
              <w:instrText xml:space="preserve"> PAGEREF _Toc24897635 \h </w:instrText>
            </w:r>
            <w:r w:rsidR="005F726F" w:rsidRPr="002659A3">
              <w:rPr>
                <w:rStyle w:val="Hyperlink"/>
                <w:rFonts w:ascii="Times New Roman" w:hAnsi="Times New Roman"/>
                <w:b w:val="0"/>
                <w:bCs w:val="0"/>
                <w:i w:val="0"/>
                <w:iCs w:val="0"/>
                <w:webHidden/>
                <w:color w:val="538135" w:themeColor="accent6" w:themeShade="BF"/>
                <w:sz w:val="20"/>
                <w:szCs w:val="20"/>
              </w:rPr>
            </w:r>
            <w:r w:rsidR="005F726F" w:rsidRPr="002659A3">
              <w:rPr>
                <w:rStyle w:val="Hyperlink"/>
                <w:rFonts w:ascii="Times New Roman" w:hAnsi="Times New Roman"/>
                <w:b w:val="0"/>
                <w:bCs w:val="0"/>
                <w:i w:val="0"/>
                <w:iCs w:val="0"/>
                <w:webHidden/>
                <w:color w:val="538135" w:themeColor="accent6" w:themeShade="BF"/>
                <w:sz w:val="20"/>
                <w:szCs w:val="20"/>
              </w:rPr>
              <w:fldChar w:fldCharType="separate"/>
            </w:r>
            <w:r w:rsidR="002659A3" w:rsidRPr="002659A3">
              <w:rPr>
                <w:rStyle w:val="Hyperlink"/>
                <w:rFonts w:ascii="Times New Roman" w:hAnsi="Times New Roman"/>
                <w:b w:val="0"/>
                <w:bCs w:val="0"/>
                <w:i w:val="0"/>
                <w:iCs w:val="0"/>
                <w:webHidden/>
                <w:color w:val="538135" w:themeColor="accent6" w:themeShade="BF"/>
                <w:sz w:val="20"/>
                <w:szCs w:val="20"/>
              </w:rPr>
              <w:t>5</w:t>
            </w:r>
            <w:r w:rsidR="005F726F" w:rsidRPr="002659A3">
              <w:rPr>
                <w:rStyle w:val="Hyperlink"/>
                <w:rFonts w:ascii="Times New Roman" w:hAnsi="Times New Roman"/>
                <w:b w:val="0"/>
                <w:bCs w:val="0"/>
                <w:i w:val="0"/>
                <w:iCs w:val="0"/>
                <w:webHidden/>
                <w:color w:val="538135" w:themeColor="accent6" w:themeShade="BF"/>
                <w:sz w:val="20"/>
                <w:szCs w:val="20"/>
              </w:rPr>
              <w:fldChar w:fldCharType="end"/>
            </w:r>
          </w:hyperlink>
        </w:p>
        <w:p w14:paraId="70C210C2" w14:textId="5C9DD30B" w:rsidR="005F726F" w:rsidRPr="002659A3" w:rsidRDefault="00756E53" w:rsidP="005F726F">
          <w:pPr>
            <w:pStyle w:val="TOC1"/>
            <w:tabs>
              <w:tab w:val="right" w:pos="9782"/>
            </w:tabs>
            <w:snapToGrid w:val="0"/>
            <w:spacing w:before="0"/>
            <w:ind w:left="547"/>
            <w:contextualSpacing/>
            <w:rPr>
              <w:rStyle w:val="Hyperlink"/>
              <w:rFonts w:ascii="Times New Roman" w:hAnsi="Times New Roman"/>
              <w:b w:val="0"/>
              <w:bCs w:val="0"/>
              <w:i w:val="0"/>
              <w:iCs w:val="0"/>
              <w:color w:val="538135" w:themeColor="accent6" w:themeShade="BF"/>
              <w:sz w:val="20"/>
              <w:szCs w:val="20"/>
            </w:rPr>
          </w:pPr>
          <w:hyperlink w:anchor="_Toc24897636" w:history="1">
            <w:r w:rsidR="005F726F" w:rsidRPr="002659A3">
              <w:rPr>
                <w:rStyle w:val="Hyperlink"/>
                <w:rFonts w:ascii="Times New Roman" w:hAnsi="Times New Roman"/>
                <w:b w:val="0"/>
                <w:bCs w:val="0"/>
                <w:i w:val="0"/>
                <w:iCs w:val="0"/>
                <w:color w:val="538135" w:themeColor="accent6" w:themeShade="BF"/>
                <w:sz w:val="20"/>
                <w:szCs w:val="20"/>
              </w:rPr>
              <w:t>What Are the Lessons Learned from the Italian Experiences in Spending Reviews?</w:t>
            </w:r>
            <w:r w:rsidR="005F726F" w:rsidRPr="002659A3">
              <w:rPr>
                <w:rStyle w:val="Hyperlink"/>
                <w:rFonts w:ascii="Times New Roman" w:hAnsi="Times New Roman"/>
                <w:b w:val="0"/>
                <w:bCs w:val="0"/>
                <w:i w:val="0"/>
                <w:iCs w:val="0"/>
                <w:webHidden/>
                <w:color w:val="538135" w:themeColor="accent6" w:themeShade="BF"/>
                <w:sz w:val="20"/>
                <w:szCs w:val="20"/>
              </w:rPr>
              <w:tab/>
            </w:r>
            <w:r w:rsidR="005F726F" w:rsidRPr="002659A3">
              <w:rPr>
                <w:rStyle w:val="Hyperlink"/>
                <w:rFonts w:ascii="Times New Roman" w:hAnsi="Times New Roman"/>
                <w:b w:val="0"/>
                <w:bCs w:val="0"/>
                <w:i w:val="0"/>
                <w:iCs w:val="0"/>
                <w:webHidden/>
                <w:color w:val="538135" w:themeColor="accent6" w:themeShade="BF"/>
                <w:sz w:val="20"/>
                <w:szCs w:val="20"/>
              </w:rPr>
              <w:fldChar w:fldCharType="begin"/>
            </w:r>
            <w:r w:rsidR="005F726F" w:rsidRPr="002659A3">
              <w:rPr>
                <w:rStyle w:val="Hyperlink"/>
                <w:rFonts w:ascii="Times New Roman" w:hAnsi="Times New Roman"/>
                <w:b w:val="0"/>
                <w:bCs w:val="0"/>
                <w:i w:val="0"/>
                <w:iCs w:val="0"/>
                <w:webHidden/>
                <w:color w:val="538135" w:themeColor="accent6" w:themeShade="BF"/>
                <w:sz w:val="20"/>
                <w:szCs w:val="20"/>
              </w:rPr>
              <w:instrText xml:space="preserve"> PAGEREF _Toc24897636 \h </w:instrText>
            </w:r>
            <w:r w:rsidR="005F726F" w:rsidRPr="002659A3">
              <w:rPr>
                <w:rStyle w:val="Hyperlink"/>
                <w:rFonts w:ascii="Times New Roman" w:hAnsi="Times New Roman"/>
                <w:b w:val="0"/>
                <w:bCs w:val="0"/>
                <w:i w:val="0"/>
                <w:iCs w:val="0"/>
                <w:webHidden/>
                <w:color w:val="538135" w:themeColor="accent6" w:themeShade="BF"/>
                <w:sz w:val="20"/>
                <w:szCs w:val="20"/>
              </w:rPr>
            </w:r>
            <w:r w:rsidR="005F726F" w:rsidRPr="002659A3">
              <w:rPr>
                <w:rStyle w:val="Hyperlink"/>
                <w:rFonts w:ascii="Times New Roman" w:hAnsi="Times New Roman"/>
                <w:b w:val="0"/>
                <w:bCs w:val="0"/>
                <w:i w:val="0"/>
                <w:iCs w:val="0"/>
                <w:webHidden/>
                <w:color w:val="538135" w:themeColor="accent6" w:themeShade="BF"/>
                <w:sz w:val="20"/>
                <w:szCs w:val="20"/>
              </w:rPr>
              <w:fldChar w:fldCharType="separate"/>
            </w:r>
            <w:r w:rsidR="002659A3" w:rsidRPr="002659A3">
              <w:rPr>
                <w:rStyle w:val="Hyperlink"/>
                <w:rFonts w:ascii="Times New Roman" w:hAnsi="Times New Roman"/>
                <w:b w:val="0"/>
                <w:bCs w:val="0"/>
                <w:i w:val="0"/>
                <w:iCs w:val="0"/>
                <w:webHidden/>
                <w:color w:val="538135" w:themeColor="accent6" w:themeShade="BF"/>
                <w:sz w:val="20"/>
                <w:szCs w:val="20"/>
              </w:rPr>
              <w:t>6</w:t>
            </w:r>
            <w:r w:rsidR="005F726F" w:rsidRPr="002659A3">
              <w:rPr>
                <w:rStyle w:val="Hyperlink"/>
                <w:rFonts w:ascii="Times New Roman" w:hAnsi="Times New Roman"/>
                <w:b w:val="0"/>
                <w:bCs w:val="0"/>
                <w:i w:val="0"/>
                <w:iCs w:val="0"/>
                <w:webHidden/>
                <w:color w:val="538135" w:themeColor="accent6" w:themeShade="BF"/>
                <w:sz w:val="20"/>
                <w:szCs w:val="20"/>
              </w:rPr>
              <w:fldChar w:fldCharType="end"/>
            </w:r>
          </w:hyperlink>
        </w:p>
        <w:p w14:paraId="6009E214" w14:textId="2AEF2BCE" w:rsidR="005F726F" w:rsidRPr="002659A3" w:rsidRDefault="00756E53" w:rsidP="005F726F">
          <w:pPr>
            <w:pStyle w:val="TOC1"/>
            <w:tabs>
              <w:tab w:val="right" w:pos="9782"/>
            </w:tabs>
            <w:snapToGrid w:val="0"/>
            <w:spacing w:before="0"/>
            <w:ind w:left="547"/>
            <w:contextualSpacing/>
            <w:rPr>
              <w:rStyle w:val="Hyperlink"/>
              <w:rFonts w:ascii="Times New Roman" w:hAnsi="Times New Roman"/>
              <w:b w:val="0"/>
              <w:bCs w:val="0"/>
              <w:i w:val="0"/>
              <w:iCs w:val="0"/>
              <w:color w:val="538135" w:themeColor="accent6" w:themeShade="BF"/>
              <w:sz w:val="20"/>
              <w:szCs w:val="20"/>
            </w:rPr>
          </w:pPr>
          <w:hyperlink w:anchor="_Toc24897637" w:history="1">
            <w:r w:rsidR="005F726F" w:rsidRPr="002659A3">
              <w:rPr>
                <w:rStyle w:val="Hyperlink"/>
                <w:rFonts w:ascii="Times New Roman" w:hAnsi="Times New Roman"/>
                <w:b w:val="0"/>
                <w:bCs w:val="0"/>
                <w:i w:val="0"/>
                <w:iCs w:val="0"/>
                <w:color w:val="538135" w:themeColor="accent6" w:themeShade="BF"/>
                <w:sz w:val="20"/>
                <w:szCs w:val="20"/>
              </w:rPr>
              <w:t>What Are the Lessons Learned from the Irish Experiences in Spending Reviews?</w:t>
            </w:r>
            <w:r w:rsidR="005F726F" w:rsidRPr="002659A3">
              <w:rPr>
                <w:rStyle w:val="Hyperlink"/>
                <w:rFonts w:ascii="Times New Roman" w:hAnsi="Times New Roman"/>
                <w:b w:val="0"/>
                <w:bCs w:val="0"/>
                <w:i w:val="0"/>
                <w:iCs w:val="0"/>
                <w:webHidden/>
                <w:color w:val="538135" w:themeColor="accent6" w:themeShade="BF"/>
                <w:sz w:val="20"/>
                <w:szCs w:val="20"/>
              </w:rPr>
              <w:tab/>
            </w:r>
            <w:r w:rsidR="005F726F" w:rsidRPr="002659A3">
              <w:rPr>
                <w:rStyle w:val="Hyperlink"/>
                <w:rFonts w:ascii="Times New Roman" w:hAnsi="Times New Roman"/>
                <w:b w:val="0"/>
                <w:bCs w:val="0"/>
                <w:i w:val="0"/>
                <w:iCs w:val="0"/>
                <w:webHidden/>
                <w:color w:val="538135" w:themeColor="accent6" w:themeShade="BF"/>
                <w:sz w:val="20"/>
                <w:szCs w:val="20"/>
              </w:rPr>
              <w:fldChar w:fldCharType="begin"/>
            </w:r>
            <w:r w:rsidR="005F726F" w:rsidRPr="002659A3">
              <w:rPr>
                <w:rStyle w:val="Hyperlink"/>
                <w:rFonts w:ascii="Times New Roman" w:hAnsi="Times New Roman"/>
                <w:b w:val="0"/>
                <w:bCs w:val="0"/>
                <w:i w:val="0"/>
                <w:iCs w:val="0"/>
                <w:webHidden/>
                <w:color w:val="538135" w:themeColor="accent6" w:themeShade="BF"/>
                <w:sz w:val="20"/>
                <w:szCs w:val="20"/>
              </w:rPr>
              <w:instrText xml:space="preserve"> PAGEREF _Toc24897637 \h </w:instrText>
            </w:r>
            <w:r w:rsidR="005F726F" w:rsidRPr="002659A3">
              <w:rPr>
                <w:rStyle w:val="Hyperlink"/>
                <w:rFonts w:ascii="Times New Roman" w:hAnsi="Times New Roman"/>
                <w:b w:val="0"/>
                <w:bCs w:val="0"/>
                <w:i w:val="0"/>
                <w:iCs w:val="0"/>
                <w:webHidden/>
                <w:color w:val="538135" w:themeColor="accent6" w:themeShade="BF"/>
                <w:sz w:val="20"/>
                <w:szCs w:val="20"/>
              </w:rPr>
            </w:r>
            <w:r w:rsidR="005F726F" w:rsidRPr="002659A3">
              <w:rPr>
                <w:rStyle w:val="Hyperlink"/>
                <w:rFonts w:ascii="Times New Roman" w:hAnsi="Times New Roman"/>
                <w:b w:val="0"/>
                <w:bCs w:val="0"/>
                <w:i w:val="0"/>
                <w:iCs w:val="0"/>
                <w:webHidden/>
                <w:color w:val="538135" w:themeColor="accent6" w:themeShade="BF"/>
                <w:sz w:val="20"/>
                <w:szCs w:val="20"/>
              </w:rPr>
              <w:fldChar w:fldCharType="separate"/>
            </w:r>
            <w:r w:rsidR="002659A3" w:rsidRPr="002659A3">
              <w:rPr>
                <w:rStyle w:val="Hyperlink"/>
                <w:rFonts w:ascii="Times New Roman" w:hAnsi="Times New Roman"/>
                <w:b w:val="0"/>
                <w:bCs w:val="0"/>
                <w:i w:val="0"/>
                <w:iCs w:val="0"/>
                <w:webHidden/>
                <w:color w:val="538135" w:themeColor="accent6" w:themeShade="BF"/>
                <w:sz w:val="20"/>
                <w:szCs w:val="20"/>
              </w:rPr>
              <w:t>7</w:t>
            </w:r>
            <w:r w:rsidR="005F726F" w:rsidRPr="002659A3">
              <w:rPr>
                <w:rStyle w:val="Hyperlink"/>
                <w:rFonts w:ascii="Times New Roman" w:hAnsi="Times New Roman"/>
                <w:b w:val="0"/>
                <w:bCs w:val="0"/>
                <w:i w:val="0"/>
                <w:iCs w:val="0"/>
                <w:webHidden/>
                <w:color w:val="538135" w:themeColor="accent6" w:themeShade="BF"/>
                <w:sz w:val="20"/>
                <w:szCs w:val="20"/>
              </w:rPr>
              <w:fldChar w:fldCharType="end"/>
            </w:r>
          </w:hyperlink>
        </w:p>
        <w:p w14:paraId="7632FFFD" w14:textId="02F5AE31" w:rsidR="005F726F" w:rsidRPr="002659A3" w:rsidRDefault="00756E53" w:rsidP="00261A7D">
          <w:pPr>
            <w:pStyle w:val="TOC1"/>
            <w:tabs>
              <w:tab w:val="left" w:pos="480"/>
              <w:tab w:val="right" w:pos="9782"/>
            </w:tabs>
            <w:spacing w:before="0"/>
            <w:ind w:left="450" w:hanging="450"/>
            <w:rPr>
              <w:rFonts w:ascii="Times New Roman" w:eastAsiaTheme="minorEastAsia" w:hAnsi="Times New Roman"/>
              <w:i w:val="0"/>
              <w:iCs w:val="0"/>
              <w:sz w:val="20"/>
              <w:szCs w:val="20"/>
            </w:rPr>
          </w:pPr>
          <w:hyperlink w:anchor="_Toc24897638" w:history="1">
            <w:r w:rsidR="005F726F" w:rsidRPr="002659A3">
              <w:rPr>
                <w:rStyle w:val="Hyperlink"/>
                <w:rFonts w:ascii="Times New Roman" w:hAnsi="Times New Roman"/>
                <w:i w:val="0"/>
                <w:iCs w:val="0"/>
                <w:sz w:val="20"/>
                <w:szCs w:val="20"/>
                <w:lang w:eastAsia="bs-Latn-BA"/>
              </w:rPr>
              <w:t>4.</w:t>
            </w:r>
            <w:r w:rsidR="005F726F" w:rsidRPr="002659A3">
              <w:rPr>
                <w:rFonts w:ascii="Times New Roman" w:eastAsiaTheme="minorEastAsia" w:hAnsi="Times New Roman"/>
                <w:i w:val="0"/>
                <w:iCs w:val="0"/>
                <w:sz w:val="20"/>
                <w:szCs w:val="20"/>
              </w:rPr>
              <w:tab/>
            </w:r>
            <w:r w:rsidR="00E84A3A" w:rsidRPr="002659A3">
              <w:rPr>
                <w:rStyle w:val="Hyperlink"/>
                <w:rFonts w:ascii="Times New Roman" w:hAnsi="Times New Roman"/>
                <w:i w:val="0"/>
                <w:iCs w:val="0"/>
                <w:sz w:val="20"/>
                <w:szCs w:val="20"/>
                <w:lang w:eastAsia="bs-Latn-BA"/>
              </w:rPr>
              <w:t>T</w:t>
            </w:r>
            <w:r w:rsidR="005F726F" w:rsidRPr="002659A3">
              <w:rPr>
                <w:rStyle w:val="Hyperlink"/>
                <w:rFonts w:ascii="Times New Roman" w:hAnsi="Times New Roman"/>
                <w:i w:val="0"/>
                <w:iCs w:val="0"/>
                <w:sz w:val="20"/>
                <w:szCs w:val="20"/>
                <w:lang w:eastAsia="bs-Latn-BA"/>
              </w:rPr>
              <w:t xml:space="preserve">he Role of Public Sector Financial Reporting and Internal Audit in Performance Budgeting and </w:t>
            </w:r>
            <w:r w:rsidR="00E84A3A" w:rsidRPr="002659A3">
              <w:rPr>
                <w:rStyle w:val="Hyperlink"/>
                <w:rFonts w:ascii="Times New Roman" w:hAnsi="Times New Roman"/>
                <w:i w:val="0"/>
                <w:iCs w:val="0"/>
                <w:sz w:val="20"/>
                <w:szCs w:val="20"/>
                <w:lang w:eastAsia="bs-Latn-BA"/>
              </w:rPr>
              <w:t>P</w:t>
            </w:r>
            <w:r w:rsidR="005F726F" w:rsidRPr="002659A3">
              <w:rPr>
                <w:rStyle w:val="Hyperlink"/>
                <w:rFonts w:ascii="Times New Roman" w:hAnsi="Times New Roman"/>
                <w:i w:val="0"/>
                <w:iCs w:val="0"/>
                <w:sz w:val="20"/>
                <w:szCs w:val="20"/>
                <w:lang w:eastAsia="bs-Latn-BA"/>
              </w:rPr>
              <w:t>otential Cooperation Between BCOP and Other PEMPAL COPs</w:t>
            </w:r>
            <w:r w:rsidR="005F726F" w:rsidRPr="002659A3">
              <w:rPr>
                <w:rFonts w:ascii="Times New Roman" w:hAnsi="Times New Roman"/>
                <w:i w:val="0"/>
                <w:iCs w:val="0"/>
                <w:webHidden/>
                <w:sz w:val="20"/>
                <w:szCs w:val="20"/>
              </w:rPr>
              <w:tab/>
            </w:r>
            <w:r w:rsidR="005F726F" w:rsidRPr="002659A3">
              <w:rPr>
                <w:rFonts w:ascii="Times New Roman" w:hAnsi="Times New Roman"/>
                <w:i w:val="0"/>
                <w:iCs w:val="0"/>
                <w:webHidden/>
                <w:sz w:val="20"/>
                <w:szCs w:val="20"/>
              </w:rPr>
              <w:fldChar w:fldCharType="begin"/>
            </w:r>
            <w:r w:rsidR="005F726F" w:rsidRPr="002659A3">
              <w:rPr>
                <w:rFonts w:ascii="Times New Roman" w:hAnsi="Times New Roman"/>
                <w:i w:val="0"/>
                <w:iCs w:val="0"/>
                <w:webHidden/>
                <w:sz w:val="20"/>
                <w:szCs w:val="20"/>
              </w:rPr>
              <w:instrText xml:space="preserve"> PAGEREF _Toc24897638 \h </w:instrText>
            </w:r>
            <w:r w:rsidR="005F726F" w:rsidRPr="002659A3">
              <w:rPr>
                <w:rFonts w:ascii="Times New Roman" w:hAnsi="Times New Roman"/>
                <w:i w:val="0"/>
                <w:iCs w:val="0"/>
                <w:webHidden/>
                <w:sz w:val="20"/>
                <w:szCs w:val="20"/>
              </w:rPr>
            </w:r>
            <w:r w:rsidR="005F726F" w:rsidRPr="002659A3">
              <w:rPr>
                <w:rFonts w:ascii="Times New Roman" w:hAnsi="Times New Roman"/>
                <w:i w:val="0"/>
                <w:iCs w:val="0"/>
                <w:webHidden/>
                <w:sz w:val="20"/>
                <w:szCs w:val="20"/>
              </w:rPr>
              <w:fldChar w:fldCharType="separate"/>
            </w:r>
            <w:r w:rsidR="002659A3" w:rsidRPr="002659A3">
              <w:rPr>
                <w:rFonts w:ascii="Times New Roman" w:hAnsi="Times New Roman"/>
                <w:i w:val="0"/>
                <w:iCs w:val="0"/>
                <w:webHidden/>
                <w:sz w:val="20"/>
                <w:szCs w:val="20"/>
              </w:rPr>
              <w:t>8</w:t>
            </w:r>
            <w:r w:rsidR="005F726F" w:rsidRPr="002659A3">
              <w:rPr>
                <w:rFonts w:ascii="Times New Roman" w:hAnsi="Times New Roman"/>
                <w:i w:val="0"/>
                <w:iCs w:val="0"/>
                <w:webHidden/>
                <w:sz w:val="20"/>
                <w:szCs w:val="20"/>
              </w:rPr>
              <w:fldChar w:fldCharType="end"/>
            </w:r>
          </w:hyperlink>
        </w:p>
        <w:p w14:paraId="1D938E3D" w14:textId="3C64D1FE" w:rsidR="005F726F" w:rsidRPr="002659A3" w:rsidRDefault="00756E53" w:rsidP="005F726F">
          <w:pPr>
            <w:pStyle w:val="TOC1"/>
            <w:tabs>
              <w:tab w:val="left" w:pos="480"/>
              <w:tab w:val="right" w:pos="9782"/>
            </w:tabs>
            <w:spacing w:before="0"/>
            <w:rPr>
              <w:rFonts w:ascii="Times New Roman" w:eastAsiaTheme="minorEastAsia" w:hAnsi="Times New Roman"/>
              <w:i w:val="0"/>
              <w:iCs w:val="0"/>
              <w:sz w:val="20"/>
              <w:szCs w:val="20"/>
            </w:rPr>
          </w:pPr>
          <w:hyperlink w:anchor="_Toc24897639" w:history="1">
            <w:r w:rsidR="005F726F" w:rsidRPr="002659A3">
              <w:rPr>
                <w:rStyle w:val="Hyperlink"/>
                <w:rFonts w:ascii="Times New Roman" w:hAnsi="Times New Roman"/>
                <w:i w:val="0"/>
                <w:iCs w:val="0"/>
                <w:sz w:val="20"/>
                <w:szCs w:val="20"/>
                <w:lang w:eastAsia="bs-Latn-BA"/>
              </w:rPr>
              <w:t>5.</w:t>
            </w:r>
            <w:r w:rsidR="005F726F" w:rsidRPr="002659A3">
              <w:rPr>
                <w:rFonts w:ascii="Times New Roman" w:eastAsiaTheme="minorEastAsia" w:hAnsi="Times New Roman"/>
                <w:i w:val="0"/>
                <w:iCs w:val="0"/>
                <w:sz w:val="20"/>
                <w:szCs w:val="20"/>
              </w:rPr>
              <w:tab/>
            </w:r>
            <w:r w:rsidR="005F726F" w:rsidRPr="002659A3">
              <w:rPr>
                <w:rStyle w:val="Hyperlink"/>
                <w:rFonts w:ascii="Times New Roman" w:hAnsi="Times New Roman"/>
                <w:i w:val="0"/>
                <w:iCs w:val="0"/>
                <w:sz w:val="20"/>
                <w:szCs w:val="20"/>
                <w:lang w:eastAsia="bs-Latn-BA"/>
              </w:rPr>
              <w:t>Roundtable Work of BCOP Working Groups on Knowledge Products</w:t>
            </w:r>
            <w:r w:rsidR="005F726F" w:rsidRPr="002659A3">
              <w:rPr>
                <w:rFonts w:ascii="Times New Roman" w:hAnsi="Times New Roman"/>
                <w:i w:val="0"/>
                <w:iCs w:val="0"/>
                <w:webHidden/>
                <w:sz w:val="20"/>
                <w:szCs w:val="20"/>
              </w:rPr>
              <w:tab/>
            </w:r>
            <w:r w:rsidR="005F726F" w:rsidRPr="002659A3">
              <w:rPr>
                <w:rFonts w:ascii="Times New Roman" w:hAnsi="Times New Roman"/>
                <w:i w:val="0"/>
                <w:iCs w:val="0"/>
                <w:webHidden/>
                <w:sz w:val="20"/>
                <w:szCs w:val="20"/>
              </w:rPr>
              <w:fldChar w:fldCharType="begin"/>
            </w:r>
            <w:r w:rsidR="005F726F" w:rsidRPr="002659A3">
              <w:rPr>
                <w:rFonts w:ascii="Times New Roman" w:hAnsi="Times New Roman"/>
                <w:i w:val="0"/>
                <w:iCs w:val="0"/>
                <w:webHidden/>
                <w:sz w:val="20"/>
                <w:szCs w:val="20"/>
              </w:rPr>
              <w:instrText xml:space="preserve"> PAGEREF _Toc24897639 \h </w:instrText>
            </w:r>
            <w:r w:rsidR="005F726F" w:rsidRPr="002659A3">
              <w:rPr>
                <w:rFonts w:ascii="Times New Roman" w:hAnsi="Times New Roman"/>
                <w:i w:val="0"/>
                <w:iCs w:val="0"/>
                <w:webHidden/>
                <w:sz w:val="20"/>
                <w:szCs w:val="20"/>
              </w:rPr>
            </w:r>
            <w:r w:rsidR="005F726F" w:rsidRPr="002659A3">
              <w:rPr>
                <w:rFonts w:ascii="Times New Roman" w:hAnsi="Times New Roman"/>
                <w:i w:val="0"/>
                <w:iCs w:val="0"/>
                <w:webHidden/>
                <w:sz w:val="20"/>
                <w:szCs w:val="20"/>
              </w:rPr>
              <w:fldChar w:fldCharType="separate"/>
            </w:r>
            <w:r w:rsidR="002659A3" w:rsidRPr="002659A3">
              <w:rPr>
                <w:rFonts w:ascii="Times New Roman" w:hAnsi="Times New Roman"/>
                <w:i w:val="0"/>
                <w:iCs w:val="0"/>
                <w:webHidden/>
                <w:sz w:val="20"/>
                <w:szCs w:val="20"/>
              </w:rPr>
              <w:t>9</w:t>
            </w:r>
            <w:r w:rsidR="005F726F" w:rsidRPr="002659A3">
              <w:rPr>
                <w:rFonts w:ascii="Times New Roman" w:hAnsi="Times New Roman"/>
                <w:i w:val="0"/>
                <w:iCs w:val="0"/>
                <w:webHidden/>
                <w:sz w:val="20"/>
                <w:szCs w:val="20"/>
              </w:rPr>
              <w:fldChar w:fldCharType="end"/>
            </w:r>
          </w:hyperlink>
        </w:p>
        <w:p w14:paraId="40C4816B" w14:textId="173ACDB5" w:rsidR="005F726F" w:rsidRPr="002659A3" w:rsidRDefault="00756E53" w:rsidP="00261A7D">
          <w:pPr>
            <w:pStyle w:val="TOC1"/>
            <w:tabs>
              <w:tab w:val="right" w:pos="9782"/>
            </w:tabs>
            <w:snapToGrid w:val="0"/>
            <w:spacing w:before="0"/>
            <w:ind w:left="547"/>
            <w:contextualSpacing/>
            <w:rPr>
              <w:rStyle w:val="Hyperlink"/>
              <w:rFonts w:ascii="Times New Roman" w:hAnsi="Times New Roman"/>
              <w:b w:val="0"/>
              <w:bCs w:val="0"/>
              <w:i w:val="0"/>
              <w:iCs w:val="0"/>
              <w:color w:val="538135" w:themeColor="accent6" w:themeShade="BF"/>
              <w:sz w:val="20"/>
              <w:szCs w:val="20"/>
            </w:rPr>
          </w:pPr>
          <w:hyperlink w:anchor="_Toc24897640" w:history="1">
            <w:r w:rsidR="005F726F" w:rsidRPr="002659A3">
              <w:rPr>
                <w:rStyle w:val="Hyperlink"/>
                <w:rFonts w:ascii="Times New Roman" w:hAnsi="Times New Roman"/>
                <w:b w:val="0"/>
                <w:bCs w:val="0"/>
                <w:i w:val="0"/>
                <w:iCs w:val="0"/>
                <w:color w:val="538135" w:themeColor="accent6" w:themeShade="BF"/>
                <w:sz w:val="20"/>
                <w:szCs w:val="20"/>
              </w:rPr>
              <w:t>BLTWG Knowledge Products</w:t>
            </w:r>
            <w:r w:rsidR="005F726F" w:rsidRPr="002659A3">
              <w:rPr>
                <w:rStyle w:val="Hyperlink"/>
                <w:rFonts w:ascii="Times New Roman" w:hAnsi="Times New Roman"/>
                <w:b w:val="0"/>
                <w:bCs w:val="0"/>
                <w:i w:val="0"/>
                <w:iCs w:val="0"/>
                <w:webHidden/>
                <w:color w:val="538135" w:themeColor="accent6" w:themeShade="BF"/>
                <w:sz w:val="20"/>
                <w:szCs w:val="20"/>
              </w:rPr>
              <w:tab/>
            </w:r>
            <w:r w:rsidR="005F726F" w:rsidRPr="002659A3">
              <w:rPr>
                <w:rStyle w:val="Hyperlink"/>
                <w:rFonts w:ascii="Times New Roman" w:hAnsi="Times New Roman"/>
                <w:b w:val="0"/>
                <w:bCs w:val="0"/>
                <w:i w:val="0"/>
                <w:iCs w:val="0"/>
                <w:webHidden/>
                <w:color w:val="538135" w:themeColor="accent6" w:themeShade="BF"/>
                <w:sz w:val="20"/>
                <w:szCs w:val="20"/>
              </w:rPr>
              <w:fldChar w:fldCharType="begin"/>
            </w:r>
            <w:r w:rsidR="005F726F" w:rsidRPr="002659A3">
              <w:rPr>
                <w:rStyle w:val="Hyperlink"/>
                <w:rFonts w:ascii="Times New Roman" w:hAnsi="Times New Roman"/>
                <w:b w:val="0"/>
                <w:bCs w:val="0"/>
                <w:i w:val="0"/>
                <w:iCs w:val="0"/>
                <w:webHidden/>
                <w:color w:val="538135" w:themeColor="accent6" w:themeShade="BF"/>
                <w:sz w:val="20"/>
                <w:szCs w:val="20"/>
              </w:rPr>
              <w:instrText xml:space="preserve"> PAGEREF _Toc24897640 \h </w:instrText>
            </w:r>
            <w:r w:rsidR="005F726F" w:rsidRPr="002659A3">
              <w:rPr>
                <w:rStyle w:val="Hyperlink"/>
                <w:rFonts w:ascii="Times New Roman" w:hAnsi="Times New Roman"/>
                <w:b w:val="0"/>
                <w:bCs w:val="0"/>
                <w:i w:val="0"/>
                <w:iCs w:val="0"/>
                <w:webHidden/>
                <w:color w:val="538135" w:themeColor="accent6" w:themeShade="BF"/>
                <w:sz w:val="20"/>
                <w:szCs w:val="20"/>
              </w:rPr>
            </w:r>
            <w:r w:rsidR="005F726F" w:rsidRPr="002659A3">
              <w:rPr>
                <w:rStyle w:val="Hyperlink"/>
                <w:rFonts w:ascii="Times New Roman" w:hAnsi="Times New Roman"/>
                <w:b w:val="0"/>
                <w:bCs w:val="0"/>
                <w:i w:val="0"/>
                <w:iCs w:val="0"/>
                <w:webHidden/>
                <w:color w:val="538135" w:themeColor="accent6" w:themeShade="BF"/>
                <w:sz w:val="20"/>
                <w:szCs w:val="20"/>
              </w:rPr>
              <w:fldChar w:fldCharType="separate"/>
            </w:r>
            <w:r w:rsidR="002659A3" w:rsidRPr="002659A3">
              <w:rPr>
                <w:rStyle w:val="Hyperlink"/>
                <w:rFonts w:ascii="Times New Roman" w:hAnsi="Times New Roman"/>
                <w:b w:val="0"/>
                <w:bCs w:val="0"/>
                <w:i w:val="0"/>
                <w:iCs w:val="0"/>
                <w:webHidden/>
                <w:color w:val="538135" w:themeColor="accent6" w:themeShade="BF"/>
                <w:sz w:val="20"/>
                <w:szCs w:val="20"/>
              </w:rPr>
              <w:t>9</w:t>
            </w:r>
            <w:r w:rsidR="005F726F" w:rsidRPr="002659A3">
              <w:rPr>
                <w:rStyle w:val="Hyperlink"/>
                <w:rFonts w:ascii="Times New Roman" w:hAnsi="Times New Roman"/>
                <w:b w:val="0"/>
                <w:bCs w:val="0"/>
                <w:i w:val="0"/>
                <w:iCs w:val="0"/>
                <w:webHidden/>
                <w:color w:val="538135" w:themeColor="accent6" w:themeShade="BF"/>
                <w:sz w:val="20"/>
                <w:szCs w:val="20"/>
              </w:rPr>
              <w:fldChar w:fldCharType="end"/>
            </w:r>
          </w:hyperlink>
        </w:p>
        <w:p w14:paraId="4DA5B5BF" w14:textId="0A7B57E6" w:rsidR="005F726F" w:rsidRPr="002659A3" w:rsidRDefault="00756E53" w:rsidP="00261A7D">
          <w:pPr>
            <w:pStyle w:val="TOC1"/>
            <w:tabs>
              <w:tab w:val="right" w:pos="9782"/>
            </w:tabs>
            <w:snapToGrid w:val="0"/>
            <w:spacing w:before="0"/>
            <w:ind w:left="547"/>
            <w:contextualSpacing/>
            <w:rPr>
              <w:rStyle w:val="Hyperlink"/>
              <w:rFonts w:ascii="Times New Roman" w:hAnsi="Times New Roman"/>
              <w:b w:val="0"/>
              <w:bCs w:val="0"/>
              <w:i w:val="0"/>
              <w:iCs w:val="0"/>
              <w:color w:val="538135" w:themeColor="accent6" w:themeShade="BF"/>
              <w:sz w:val="20"/>
              <w:szCs w:val="20"/>
            </w:rPr>
          </w:pPr>
          <w:hyperlink w:anchor="_Toc24897641" w:history="1">
            <w:r w:rsidR="005F726F" w:rsidRPr="002659A3">
              <w:rPr>
                <w:rStyle w:val="Hyperlink"/>
                <w:rFonts w:ascii="Times New Roman" w:hAnsi="Times New Roman"/>
                <w:b w:val="0"/>
                <w:bCs w:val="0"/>
                <w:i w:val="0"/>
                <w:iCs w:val="0"/>
                <w:color w:val="538135" w:themeColor="accent6" w:themeShade="BF"/>
                <w:sz w:val="20"/>
                <w:szCs w:val="20"/>
              </w:rPr>
              <w:t>PPBWG Knowledge Products</w:t>
            </w:r>
            <w:r w:rsidR="005F726F" w:rsidRPr="002659A3">
              <w:rPr>
                <w:rStyle w:val="Hyperlink"/>
                <w:rFonts w:ascii="Times New Roman" w:hAnsi="Times New Roman"/>
                <w:b w:val="0"/>
                <w:bCs w:val="0"/>
                <w:i w:val="0"/>
                <w:iCs w:val="0"/>
                <w:webHidden/>
                <w:color w:val="538135" w:themeColor="accent6" w:themeShade="BF"/>
                <w:sz w:val="20"/>
                <w:szCs w:val="20"/>
              </w:rPr>
              <w:tab/>
            </w:r>
            <w:r w:rsidR="005F726F" w:rsidRPr="002659A3">
              <w:rPr>
                <w:rStyle w:val="Hyperlink"/>
                <w:rFonts w:ascii="Times New Roman" w:hAnsi="Times New Roman"/>
                <w:b w:val="0"/>
                <w:bCs w:val="0"/>
                <w:i w:val="0"/>
                <w:iCs w:val="0"/>
                <w:webHidden/>
                <w:color w:val="538135" w:themeColor="accent6" w:themeShade="BF"/>
                <w:sz w:val="20"/>
                <w:szCs w:val="20"/>
              </w:rPr>
              <w:fldChar w:fldCharType="begin"/>
            </w:r>
            <w:r w:rsidR="005F726F" w:rsidRPr="002659A3">
              <w:rPr>
                <w:rStyle w:val="Hyperlink"/>
                <w:rFonts w:ascii="Times New Roman" w:hAnsi="Times New Roman"/>
                <w:b w:val="0"/>
                <w:bCs w:val="0"/>
                <w:i w:val="0"/>
                <w:iCs w:val="0"/>
                <w:webHidden/>
                <w:color w:val="538135" w:themeColor="accent6" w:themeShade="BF"/>
                <w:sz w:val="20"/>
                <w:szCs w:val="20"/>
              </w:rPr>
              <w:instrText xml:space="preserve"> PAGEREF _Toc24897641 \h </w:instrText>
            </w:r>
            <w:r w:rsidR="005F726F" w:rsidRPr="002659A3">
              <w:rPr>
                <w:rStyle w:val="Hyperlink"/>
                <w:rFonts w:ascii="Times New Roman" w:hAnsi="Times New Roman"/>
                <w:b w:val="0"/>
                <w:bCs w:val="0"/>
                <w:i w:val="0"/>
                <w:iCs w:val="0"/>
                <w:webHidden/>
                <w:color w:val="538135" w:themeColor="accent6" w:themeShade="BF"/>
                <w:sz w:val="20"/>
                <w:szCs w:val="20"/>
              </w:rPr>
            </w:r>
            <w:r w:rsidR="005F726F" w:rsidRPr="002659A3">
              <w:rPr>
                <w:rStyle w:val="Hyperlink"/>
                <w:rFonts w:ascii="Times New Roman" w:hAnsi="Times New Roman"/>
                <w:b w:val="0"/>
                <w:bCs w:val="0"/>
                <w:i w:val="0"/>
                <w:iCs w:val="0"/>
                <w:webHidden/>
                <w:color w:val="538135" w:themeColor="accent6" w:themeShade="BF"/>
                <w:sz w:val="20"/>
                <w:szCs w:val="20"/>
              </w:rPr>
              <w:fldChar w:fldCharType="separate"/>
            </w:r>
            <w:r w:rsidR="002659A3" w:rsidRPr="002659A3">
              <w:rPr>
                <w:rStyle w:val="Hyperlink"/>
                <w:rFonts w:ascii="Times New Roman" w:hAnsi="Times New Roman"/>
                <w:b w:val="0"/>
                <w:bCs w:val="0"/>
                <w:i w:val="0"/>
                <w:iCs w:val="0"/>
                <w:webHidden/>
                <w:color w:val="538135" w:themeColor="accent6" w:themeShade="BF"/>
                <w:sz w:val="20"/>
                <w:szCs w:val="20"/>
              </w:rPr>
              <w:t>10</w:t>
            </w:r>
            <w:r w:rsidR="005F726F" w:rsidRPr="002659A3">
              <w:rPr>
                <w:rStyle w:val="Hyperlink"/>
                <w:rFonts w:ascii="Times New Roman" w:hAnsi="Times New Roman"/>
                <w:b w:val="0"/>
                <w:bCs w:val="0"/>
                <w:i w:val="0"/>
                <w:iCs w:val="0"/>
                <w:webHidden/>
                <w:color w:val="538135" w:themeColor="accent6" w:themeShade="BF"/>
                <w:sz w:val="20"/>
                <w:szCs w:val="20"/>
              </w:rPr>
              <w:fldChar w:fldCharType="end"/>
            </w:r>
          </w:hyperlink>
        </w:p>
        <w:p w14:paraId="2438D16F" w14:textId="7A268CA8" w:rsidR="005F726F" w:rsidRPr="002659A3" w:rsidRDefault="005F726F" w:rsidP="00261A7D">
          <w:pPr>
            <w:pStyle w:val="TOC1"/>
            <w:tabs>
              <w:tab w:val="left" w:pos="180"/>
              <w:tab w:val="left" w:pos="440"/>
              <w:tab w:val="left" w:pos="540"/>
              <w:tab w:val="right" w:leader="dot" w:pos="9782"/>
            </w:tabs>
            <w:rPr>
              <w:rFonts w:ascii="Times New Roman" w:hAnsi="Times New Roman"/>
              <w:b w:val="0"/>
              <w:bCs w:val="0"/>
              <w:i w:val="0"/>
              <w:iCs w:val="0"/>
              <w:sz w:val="2"/>
              <w:szCs w:val="2"/>
            </w:rPr>
          </w:pPr>
          <w:r w:rsidRPr="002659A3">
            <w:rPr>
              <w:i w:val="0"/>
              <w:iCs w:val="0"/>
              <w:sz w:val="22"/>
              <w:szCs w:val="22"/>
            </w:rPr>
            <w:fldChar w:fldCharType="end"/>
          </w:r>
        </w:p>
      </w:sdtContent>
    </w:sdt>
    <w:p w14:paraId="14A5A697" w14:textId="77777777" w:rsidR="005A1144" w:rsidRPr="002659A3" w:rsidRDefault="007743D7" w:rsidP="00EF53AE">
      <w:pPr>
        <w:pStyle w:val="Heading1"/>
        <w:numPr>
          <w:ilvl w:val="0"/>
          <w:numId w:val="1"/>
        </w:numPr>
        <w:spacing w:before="0" w:afterLines="80" w:after="192" w:line="240" w:lineRule="auto"/>
        <w:ind w:left="540" w:hanging="450"/>
        <w:rPr>
          <w:rFonts w:ascii="Times New Roman" w:eastAsia="Times New Roman" w:hAnsi="Times New Roman" w:cs="Times New Roman"/>
          <w:b/>
          <w:sz w:val="22"/>
          <w:szCs w:val="22"/>
          <w:lang w:eastAsia="bs-Latn-BA"/>
        </w:rPr>
      </w:pPr>
      <w:bookmarkStart w:id="0" w:name="_Toc24712159"/>
      <w:bookmarkStart w:id="1" w:name="_Toc24897628"/>
      <w:r w:rsidRPr="002659A3">
        <w:rPr>
          <w:rFonts w:ascii="Times New Roman" w:eastAsia="Times New Roman" w:hAnsi="Times New Roman" w:cs="Times New Roman"/>
          <w:b/>
          <w:sz w:val="22"/>
          <w:szCs w:val="22"/>
          <w:lang w:eastAsia="bs-Latn-BA"/>
        </w:rPr>
        <w:t>Background</w:t>
      </w:r>
      <w:bookmarkEnd w:id="0"/>
      <w:bookmarkEnd w:id="1"/>
    </w:p>
    <w:p w14:paraId="50D3076A" w14:textId="27784729" w:rsidR="00137082" w:rsidRPr="002659A3" w:rsidRDefault="007743D7" w:rsidP="00EF53AE">
      <w:pPr>
        <w:spacing w:afterLines="80" w:after="192"/>
        <w:jc w:val="both"/>
        <w:rPr>
          <w:bCs/>
          <w:color w:val="222222"/>
          <w:sz w:val="22"/>
          <w:szCs w:val="22"/>
          <w:lang w:eastAsia="bs-Latn-BA"/>
        </w:rPr>
      </w:pPr>
      <w:r w:rsidRPr="002659A3">
        <w:rPr>
          <w:b/>
          <w:sz w:val="22"/>
          <w:szCs w:val="22"/>
        </w:rPr>
        <w:t xml:space="preserve">This event report </w:t>
      </w:r>
      <w:r w:rsidR="008C28B4" w:rsidRPr="002659A3">
        <w:rPr>
          <w:b/>
          <w:sz w:val="22"/>
          <w:szCs w:val="22"/>
        </w:rPr>
        <w:t xml:space="preserve">provides summary of </w:t>
      </w:r>
      <w:r w:rsidRPr="002659A3">
        <w:rPr>
          <w:b/>
          <w:sz w:val="22"/>
          <w:szCs w:val="22"/>
        </w:rPr>
        <w:t xml:space="preserve">the </w:t>
      </w:r>
      <w:r w:rsidR="008C28B4" w:rsidRPr="002659A3">
        <w:rPr>
          <w:b/>
          <w:sz w:val="22"/>
          <w:szCs w:val="22"/>
        </w:rPr>
        <w:t>presentations and discussions</w:t>
      </w:r>
      <w:r w:rsidR="00E84A3A" w:rsidRPr="002659A3">
        <w:rPr>
          <w:b/>
          <w:sz w:val="22"/>
          <w:szCs w:val="22"/>
        </w:rPr>
        <w:t xml:space="preserve"> delivered during</w:t>
      </w:r>
      <w:r w:rsidR="008C28B4" w:rsidRPr="002659A3">
        <w:rPr>
          <w:b/>
          <w:sz w:val="22"/>
          <w:szCs w:val="22"/>
        </w:rPr>
        <w:t xml:space="preserve"> the </w:t>
      </w:r>
      <w:r w:rsidRPr="002659A3">
        <w:rPr>
          <w:b/>
          <w:sz w:val="22"/>
          <w:szCs w:val="22"/>
        </w:rPr>
        <w:t xml:space="preserve">2019 </w:t>
      </w:r>
      <w:r w:rsidR="00EA1420" w:rsidRPr="002659A3">
        <w:rPr>
          <w:b/>
          <w:sz w:val="22"/>
          <w:szCs w:val="22"/>
        </w:rPr>
        <w:t>BOP</w:t>
      </w:r>
      <w:r w:rsidRPr="002659A3">
        <w:rPr>
          <w:b/>
          <w:sz w:val="22"/>
          <w:szCs w:val="22"/>
        </w:rPr>
        <w:t xml:space="preserve">’s </w:t>
      </w:r>
      <w:r w:rsidR="00D01222" w:rsidRPr="002659A3">
        <w:rPr>
          <w:b/>
          <w:sz w:val="22"/>
          <w:szCs w:val="22"/>
        </w:rPr>
        <w:t>Joint Workshop of the PPBWG and BLTWG</w:t>
      </w:r>
      <w:r w:rsidR="00940328" w:rsidRPr="002659A3">
        <w:rPr>
          <w:sz w:val="22"/>
          <w:szCs w:val="22"/>
        </w:rPr>
        <w:t xml:space="preserve"> held on </w:t>
      </w:r>
      <w:r w:rsidR="00994F9D" w:rsidRPr="002659A3">
        <w:rPr>
          <w:sz w:val="22"/>
          <w:szCs w:val="22"/>
        </w:rPr>
        <w:t>Nov</w:t>
      </w:r>
      <w:r w:rsidR="00940328" w:rsidRPr="002659A3">
        <w:rPr>
          <w:sz w:val="22"/>
          <w:szCs w:val="22"/>
        </w:rPr>
        <w:t>e</w:t>
      </w:r>
      <w:r w:rsidR="002457E7" w:rsidRPr="002659A3">
        <w:rPr>
          <w:sz w:val="22"/>
          <w:szCs w:val="22"/>
        </w:rPr>
        <w:t>mber 5-6</w:t>
      </w:r>
      <w:r w:rsidR="00EF53AE" w:rsidRPr="002659A3">
        <w:rPr>
          <w:sz w:val="22"/>
          <w:szCs w:val="22"/>
        </w:rPr>
        <w:t>,</w:t>
      </w:r>
      <w:r w:rsidR="002457E7" w:rsidRPr="002659A3">
        <w:rPr>
          <w:sz w:val="22"/>
          <w:szCs w:val="22"/>
        </w:rPr>
        <w:t xml:space="preserve"> 2019, in Paris France. </w:t>
      </w:r>
      <w:r w:rsidR="009A3E49" w:rsidRPr="002659A3">
        <w:rPr>
          <w:sz w:val="22"/>
          <w:szCs w:val="22"/>
        </w:rPr>
        <w:t xml:space="preserve">This workshop was organized based on earlier proposal for joint </w:t>
      </w:r>
      <w:r w:rsidR="00A30B5D" w:rsidRPr="002659A3">
        <w:rPr>
          <w:bCs/>
          <w:color w:val="222222"/>
          <w:sz w:val="22"/>
          <w:szCs w:val="22"/>
          <w:lang w:eastAsia="bs-Latn-BA"/>
        </w:rPr>
        <w:t xml:space="preserve">work of the two working groups. </w:t>
      </w:r>
      <w:bookmarkStart w:id="2" w:name="OLE_LINK9"/>
      <w:bookmarkStart w:id="3" w:name="OLE_LINK10"/>
      <w:r w:rsidR="009A3E49" w:rsidRPr="002659A3">
        <w:rPr>
          <w:bCs/>
          <w:color w:val="222222"/>
          <w:sz w:val="22"/>
          <w:szCs w:val="22"/>
          <w:lang w:eastAsia="bs-Latn-BA"/>
        </w:rPr>
        <w:t>T</w:t>
      </w:r>
      <w:r w:rsidR="00A30B5D" w:rsidRPr="002659A3">
        <w:rPr>
          <w:bCs/>
          <w:color w:val="222222"/>
          <w:sz w:val="22"/>
          <w:szCs w:val="22"/>
          <w:lang w:eastAsia="bs-Latn-BA"/>
        </w:rPr>
        <w:t>h</w:t>
      </w:r>
      <w:r w:rsidR="009A3E49" w:rsidRPr="002659A3">
        <w:rPr>
          <w:bCs/>
          <w:color w:val="222222"/>
          <w:sz w:val="22"/>
          <w:szCs w:val="22"/>
          <w:lang w:eastAsia="bs-Latn-BA"/>
        </w:rPr>
        <w:t xml:space="preserve">e </w:t>
      </w:r>
      <w:r w:rsidR="00EE4FE5" w:rsidRPr="002659A3">
        <w:rPr>
          <w:bCs/>
          <w:color w:val="222222"/>
          <w:sz w:val="22"/>
          <w:szCs w:val="22"/>
          <w:lang w:eastAsia="bs-Latn-BA"/>
        </w:rPr>
        <w:t>workshop</w:t>
      </w:r>
      <w:r w:rsidR="009A3E49" w:rsidRPr="002659A3">
        <w:rPr>
          <w:bCs/>
          <w:color w:val="222222"/>
          <w:sz w:val="22"/>
          <w:szCs w:val="22"/>
          <w:lang w:eastAsia="bs-Latn-BA"/>
        </w:rPr>
        <w:t xml:space="preserve"> </w:t>
      </w:r>
      <w:r w:rsidR="00EE4FE5" w:rsidRPr="002659A3">
        <w:rPr>
          <w:bCs/>
          <w:color w:val="222222"/>
          <w:sz w:val="22"/>
          <w:szCs w:val="22"/>
          <w:lang w:eastAsia="bs-Latn-BA"/>
        </w:rPr>
        <w:t>took</w:t>
      </w:r>
      <w:r w:rsidR="00A30B5D" w:rsidRPr="002659A3">
        <w:rPr>
          <w:bCs/>
          <w:color w:val="222222"/>
          <w:sz w:val="22"/>
          <w:szCs w:val="22"/>
          <w:lang w:eastAsia="bs-Latn-BA"/>
        </w:rPr>
        <w:t xml:space="preserve"> place back-to-back with the meeting of the </w:t>
      </w:r>
      <w:r w:rsidR="002659A3" w:rsidRPr="002659A3">
        <w:rPr>
          <w:bCs/>
          <w:color w:val="222222"/>
          <w:sz w:val="22"/>
          <w:szCs w:val="22"/>
          <w:lang w:eastAsia="bs-Latn-BA"/>
        </w:rPr>
        <w:t>Organi</w:t>
      </w:r>
      <w:r w:rsidR="002659A3" w:rsidRPr="002659A3">
        <w:rPr>
          <w:bCs/>
          <w:color w:val="222222"/>
          <w:sz w:val="22"/>
          <w:szCs w:val="22"/>
          <w:lang w:eastAsia="bs-Latn-BA"/>
        </w:rPr>
        <w:t>z</w:t>
      </w:r>
      <w:r w:rsidR="002659A3" w:rsidRPr="002659A3">
        <w:rPr>
          <w:bCs/>
          <w:color w:val="222222"/>
          <w:sz w:val="22"/>
          <w:szCs w:val="22"/>
          <w:lang w:eastAsia="bs-Latn-BA"/>
        </w:rPr>
        <w:t xml:space="preserve">ation </w:t>
      </w:r>
      <w:r w:rsidR="00A30B5D" w:rsidRPr="002659A3">
        <w:rPr>
          <w:bCs/>
          <w:color w:val="222222"/>
          <w:sz w:val="22"/>
          <w:szCs w:val="22"/>
          <w:lang w:eastAsia="bs-Latn-BA"/>
        </w:rPr>
        <w:t xml:space="preserve">for Economic Cooperation and Development </w:t>
      </w:r>
      <w:r w:rsidR="00364328" w:rsidRPr="002659A3">
        <w:rPr>
          <w:bCs/>
          <w:color w:val="222222"/>
          <w:sz w:val="22"/>
          <w:szCs w:val="22"/>
          <w:lang w:eastAsia="bs-Latn-BA"/>
        </w:rPr>
        <w:t xml:space="preserve">(OECD) </w:t>
      </w:r>
      <w:r w:rsidR="00A30B5D" w:rsidRPr="002659A3">
        <w:rPr>
          <w:bCs/>
          <w:color w:val="222222"/>
          <w:sz w:val="22"/>
          <w:szCs w:val="22"/>
          <w:lang w:eastAsia="bs-Latn-BA"/>
        </w:rPr>
        <w:t>Seni</w:t>
      </w:r>
      <w:r w:rsidR="00EE4FE5" w:rsidRPr="002659A3">
        <w:rPr>
          <w:bCs/>
          <w:color w:val="222222"/>
          <w:sz w:val="22"/>
          <w:szCs w:val="22"/>
          <w:lang w:eastAsia="bs-Latn-BA"/>
        </w:rPr>
        <w:t xml:space="preserve">or Budget Officials’ </w:t>
      </w:r>
      <w:r w:rsidR="00A30B5D" w:rsidRPr="002659A3">
        <w:rPr>
          <w:bCs/>
          <w:color w:val="222222"/>
          <w:sz w:val="22"/>
          <w:szCs w:val="22"/>
          <w:lang w:eastAsia="bs-Latn-BA"/>
        </w:rPr>
        <w:t xml:space="preserve">Network on Performance and Results to which a </w:t>
      </w:r>
      <w:r w:rsidR="00EE4FE5" w:rsidRPr="002659A3">
        <w:rPr>
          <w:bCs/>
          <w:color w:val="222222"/>
          <w:sz w:val="22"/>
          <w:szCs w:val="22"/>
          <w:lang w:eastAsia="bs-Latn-BA"/>
        </w:rPr>
        <w:t>small delegation of the PPBWG was</w:t>
      </w:r>
      <w:r w:rsidR="00A30B5D" w:rsidRPr="002659A3">
        <w:rPr>
          <w:bCs/>
          <w:color w:val="222222"/>
          <w:sz w:val="22"/>
          <w:szCs w:val="22"/>
          <w:lang w:eastAsia="bs-Latn-BA"/>
        </w:rPr>
        <w:t xml:space="preserve"> invited by the OECD.</w:t>
      </w:r>
      <w:bookmarkEnd w:id="2"/>
      <w:bookmarkEnd w:id="3"/>
      <w:r w:rsidR="00BF3D56" w:rsidRPr="002659A3">
        <w:rPr>
          <w:rStyle w:val="FootnoteReference"/>
          <w:bCs/>
          <w:color w:val="222222"/>
          <w:sz w:val="22"/>
          <w:szCs w:val="22"/>
          <w:lang w:eastAsia="bs-Latn-BA"/>
        </w:rPr>
        <w:footnoteReference w:id="1"/>
      </w:r>
      <w:r w:rsidR="00137082" w:rsidRPr="002659A3">
        <w:rPr>
          <w:bCs/>
          <w:color w:val="222222"/>
          <w:sz w:val="22"/>
          <w:szCs w:val="22"/>
          <w:lang w:eastAsia="bs-Latn-BA"/>
        </w:rPr>
        <w:t xml:space="preserve"> </w:t>
      </w:r>
    </w:p>
    <w:p w14:paraId="143B23BF" w14:textId="1368EB21" w:rsidR="007B3D91" w:rsidRPr="002659A3" w:rsidRDefault="00D64DBE" w:rsidP="00EF53AE">
      <w:pPr>
        <w:spacing w:afterLines="80" w:after="192"/>
        <w:jc w:val="both"/>
        <w:rPr>
          <w:sz w:val="22"/>
          <w:szCs w:val="22"/>
        </w:rPr>
      </w:pPr>
      <w:r w:rsidRPr="002659A3">
        <w:rPr>
          <w:b/>
          <w:sz w:val="22"/>
          <w:szCs w:val="22"/>
        </w:rPr>
        <w:t xml:space="preserve">The meeting gathered BCOP representatives </w:t>
      </w:r>
      <w:r w:rsidR="00E84A3A" w:rsidRPr="002659A3">
        <w:rPr>
          <w:b/>
          <w:sz w:val="22"/>
          <w:szCs w:val="22"/>
        </w:rPr>
        <w:t xml:space="preserve">of </w:t>
      </w:r>
      <w:r w:rsidRPr="002659A3">
        <w:rPr>
          <w:b/>
          <w:sz w:val="22"/>
          <w:szCs w:val="22"/>
        </w:rPr>
        <w:t>Ministries of Finance (MOFs) from 13 BCOP member</w:t>
      </w:r>
      <w:r w:rsidR="00E84A3A" w:rsidRPr="002659A3">
        <w:rPr>
          <w:b/>
          <w:sz w:val="22"/>
          <w:szCs w:val="22"/>
        </w:rPr>
        <w:t xml:space="preserve"> countries </w:t>
      </w:r>
      <w:r w:rsidR="004C50B7" w:rsidRPr="002659A3">
        <w:rPr>
          <w:b/>
          <w:sz w:val="22"/>
          <w:szCs w:val="22"/>
        </w:rPr>
        <w:t xml:space="preserve">in </w:t>
      </w:r>
      <w:r w:rsidRPr="002659A3">
        <w:rPr>
          <w:b/>
          <w:sz w:val="22"/>
          <w:szCs w:val="22"/>
        </w:rPr>
        <w:t>the Europe and Central Asia (ECA) region</w:t>
      </w:r>
      <w:r w:rsidRPr="002659A3">
        <w:rPr>
          <w:sz w:val="22"/>
          <w:szCs w:val="22"/>
        </w:rPr>
        <w:t xml:space="preserve">: Albania, Armenia, Belarus, Bosnia and Herzegovina, Bulgaria, Croatia, Kosovo, Kyrgyz Republic, Republic of North Macedonia, Moldova, Russian Federation, Ukraine, and Uzbekistan. </w:t>
      </w:r>
    </w:p>
    <w:p w14:paraId="28A043AE" w14:textId="6ACD4684" w:rsidR="00FC6BE1" w:rsidRPr="002659A3" w:rsidRDefault="00DA7553" w:rsidP="00EF53AE">
      <w:pPr>
        <w:spacing w:afterLines="80" w:after="192"/>
        <w:jc w:val="both"/>
        <w:rPr>
          <w:sz w:val="22"/>
          <w:szCs w:val="22"/>
        </w:rPr>
      </w:pPr>
      <w:r w:rsidRPr="002659A3">
        <w:rPr>
          <w:b/>
          <w:bCs/>
          <w:color w:val="222222"/>
          <w:sz w:val="22"/>
          <w:szCs w:val="22"/>
          <w:lang w:eastAsia="bs-Latn-BA"/>
        </w:rPr>
        <w:t>The objective of</w:t>
      </w:r>
      <w:r w:rsidR="001763E2" w:rsidRPr="002659A3">
        <w:rPr>
          <w:b/>
          <w:bCs/>
          <w:color w:val="222222"/>
          <w:sz w:val="22"/>
          <w:szCs w:val="22"/>
          <w:lang w:eastAsia="bs-Latn-BA"/>
        </w:rPr>
        <w:t xml:space="preserve"> the</w:t>
      </w:r>
      <w:r w:rsidR="00220F5B" w:rsidRPr="002659A3">
        <w:rPr>
          <w:b/>
          <w:bCs/>
          <w:color w:val="222222"/>
          <w:sz w:val="22"/>
          <w:szCs w:val="22"/>
          <w:lang w:eastAsia="bs-Latn-BA"/>
        </w:rPr>
        <w:t xml:space="preserve"> </w:t>
      </w:r>
      <w:r w:rsidR="001763E2" w:rsidRPr="002659A3">
        <w:rPr>
          <w:b/>
          <w:bCs/>
          <w:color w:val="222222"/>
          <w:sz w:val="22"/>
          <w:szCs w:val="22"/>
          <w:lang w:eastAsia="bs-Latn-BA"/>
        </w:rPr>
        <w:t xml:space="preserve">BCOP’s </w:t>
      </w:r>
      <w:r w:rsidR="00220F5B" w:rsidRPr="002659A3">
        <w:rPr>
          <w:b/>
          <w:bCs/>
          <w:color w:val="222222"/>
          <w:sz w:val="22"/>
          <w:szCs w:val="22"/>
          <w:lang w:eastAsia="bs-Latn-BA"/>
        </w:rPr>
        <w:t>two-day workshop was to</w:t>
      </w:r>
      <w:r w:rsidRPr="002659A3">
        <w:rPr>
          <w:b/>
          <w:bCs/>
          <w:color w:val="222222"/>
          <w:sz w:val="22"/>
          <w:szCs w:val="22"/>
          <w:lang w:eastAsia="bs-Latn-BA"/>
        </w:rPr>
        <w:t xml:space="preserve"> examine good practices from advanced countries</w:t>
      </w:r>
      <w:r w:rsidRPr="002659A3">
        <w:rPr>
          <w:bCs/>
          <w:color w:val="222222"/>
          <w:sz w:val="22"/>
          <w:szCs w:val="22"/>
          <w:lang w:eastAsia="bs-Latn-BA"/>
        </w:rPr>
        <w:t xml:space="preserve"> and assess potential application to PEMPAL countries </w:t>
      </w:r>
      <w:r w:rsidR="00364328" w:rsidRPr="002659A3">
        <w:rPr>
          <w:bCs/>
          <w:color w:val="222222"/>
          <w:sz w:val="22"/>
          <w:szCs w:val="22"/>
          <w:lang w:eastAsia="bs-Latn-BA"/>
        </w:rPr>
        <w:t>on the</w:t>
      </w:r>
      <w:r w:rsidRPr="002659A3">
        <w:rPr>
          <w:bCs/>
          <w:color w:val="222222"/>
          <w:sz w:val="22"/>
          <w:szCs w:val="22"/>
          <w:lang w:eastAsia="bs-Latn-BA"/>
        </w:rPr>
        <w:t xml:space="preserve"> two sub</w:t>
      </w:r>
      <w:r w:rsidR="00364328" w:rsidRPr="002659A3">
        <w:rPr>
          <w:bCs/>
          <w:color w:val="222222"/>
          <w:sz w:val="22"/>
          <w:szCs w:val="22"/>
          <w:lang w:eastAsia="bs-Latn-BA"/>
        </w:rPr>
        <w:t>-</w:t>
      </w:r>
      <w:r w:rsidRPr="002659A3">
        <w:rPr>
          <w:bCs/>
          <w:color w:val="222222"/>
          <w:sz w:val="22"/>
          <w:szCs w:val="22"/>
          <w:lang w:eastAsia="bs-Latn-BA"/>
        </w:rPr>
        <w:t>topics:</w:t>
      </w:r>
      <w:r w:rsidR="007B3D91" w:rsidRPr="002659A3">
        <w:rPr>
          <w:bCs/>
          <w:color w:val="222222"/>
          <w:sz w:val="22"/>
          <w:szCs w:val="22"/>
          <w:lang w:eastAsia="bs-Latn-BA"/>
        </w:rPr>
        <w:t xml:space="preserve"> i) c</w:t>
      </w:r>
      <w:r w:rsidRPr="002659A3">
        <w:rPr>
          <w:bCs/>
          <w:color w:val="222222"/>
          <w:sz w:val="22"/>
          <w:szCs w:val="22"/>
          <w:lang w:eastAsia="bs-Latn-BA"/>
        </w:rPr>
        <w:t xml:space="preserve">apturing </w:t>
      </w:r>
      <w:r w:rsidRPr="002659A3">
        <w:rPr>
          <w:color w:val="222222"/>
          <w:sz w:val="22"/>
          <w:szCs w:val="22"/>
          <w:lang w:eastAsia="bs-Latn-BA"/>
        </w:rPr>
        <w:t>citizens’ satisfaction, perceptions, and engagement</w:t>
      </w:r>
      <w:r w:rsidRPr="002659A3">
        <w:rPr>
          <w:bCs/>
          <w:color w:val="222222"/>
          <w:sz w:val="22"/>
          <w:szCs w:val="22"/>
          <w:lang w:eastAsia="bs-Latn-BA"/>
        </w:rPr>
        <w:t xml:space="preserve"> in performance indicators used for budgeting</w:t>
      </w:r>
      <w:r w:rsidR="007B3D91" w:rsidRPr="002659A3">
        <w:rPr>
          <w:bCs/>
          <w:color w:val="222222"/>
          <w:sz w:val="22"/>
          <w:szCs w:val="22"/>
          <w:lang w:eastAsia="bs-Latn-BA"/>
        </w:rPr>
        <w:t xml:space="preserve">, and ii) </w:t>
      </w:r>
      <w:r w:rsidR="00364328" w:rsidRPr="002659A3">
        <w:rPr>
          <w:bCs/>
          <w:color w:val="222222"/>
          <w:sz w:val="22"/>
          <w:szCs w:val="22"/>
          <w:lang w:eastAsia="bs-Latn-BA"/>
        </w:rPr>
        <w:t xml:space="preserve">understanding the </w:t>
      </w:r>
      <w:r w:rsidR="007B3D91" w:rsidRPr="002659A3">
        <w:rPr>
          <w:bCs/>
          <w:color w:val="222222"/>
          <w:sz w:val="22"/>
          <w:szCs w:val="22"/>
          <w:lang w:eastAsia="bs-Latn-BA"/>
        </w:rPr>
        <w:t>t</w:t>
      </w:r>
      <w:r w:rsidRPr="002659A3">
        <w:rPr>
          <w:bCs/>
          <w:color w:val="222222"/>
          <w:sz w:val="22"/>
          <w:szCs w:val="22"/>
          <w:lang w:eastAsia="bs-Latn-BA"/>
        </w:rPr>
        <w:t xml:space="preserve">echnical methodology and process for </w:t>
      </w:r>
      <w:r w:rsidRPr="002659A3">
        <w:rPr>
          <w:color w:val="222222"/>
          <w:sz w:val="22"/>
          <w:szCs w:val="22"/>
          <w:lang w:eastAsia="bs-Latn-BA"/>
        </w:rPr>
        <w:t>spending reviews</w:t>
      </w:r>
      <w:r w:rsidRPr="002659A3">
        <w:rPr>
          <w:bCs/>
          <w:color w:val="222222"/>
          <w:sz w:val="22"/>
          <w:szCs w:val="22"/>
          <w:lang w:eastAsia="bs-Latn-BA"/>
        </w:rPr>
        <w:t xml:space="preserve"> in advanced countries</w:t>
      </w:r>
      <w:r w:rsidR="00FC6BE1" w:rsidRPr="002659A3">
        <w:rPr>
          <w:bCs/>
          <w:color w:val="222222"/>
          <w:sz w:val="22"/>
          <w:szCs w:val="22"/>
          <w:lang w:eastAsia="bs-Latn-BA"/>
        </w:rPr>
        <w:t>.</w:t>
      </w:r>
      <w:r w:rsidR="007B3D91" w:rsidRPr="002659A3">
        <w:rPr>
          <w:bCs/>
          <w:color w:val="222222"/>
          <w:sz w:val="22"/>
          <w:szCs w:val="22"/>
          <w:lang w:eastAsia="bs-Latn-BA"/>
        </w:rPr>
        <w:t xml:space="preserve"> </w:t>
      </w:r>
      <w:r w:rsidR="00EF53AE" w:rsidRPr="002659A3">
        <w:rPr>
          <w:bCs/>
          <w:color w:val="222222"/>
          <w:sz w:val="22"/>
          <w:szCs w:val="22"/>
          <w:lang w:eastAsia="bs-Latn-BA"/>
        </w:rPr>
        <w:t>In addition, working groups</w:t>
      </w:r>
      <w:r w:rsidR="00E84A3A" w:rsidRPr="002659A3">
        <w:rPr>
          <w:bCs/>
          <w:color w:val="222222"/>
          <w:sz w:val="22"/>
          <w:szCs w:val="22"/>
          <w:lang w:eastAsia="bs-Latn-BA"/>
        </w:rPr>
        <w:t xml:space="preserve"> discussed how </w:t>
      </w:r>
      <w:r w:rsidR="00EF53AE" w:rsidRPr="002659A3">
        <w:rPr>
          <w:bCs/>
          <w:color w:val="222222"/>
          <w:sz w:val="22"/>
          <w:szCs w:val="22"/>
          <w:lang w:eastAsia="bs-Latn-BA"/>
        </w:rPr>
        <w:t xml:space="preserve">to advance </w:t>
      </w:r>
      <w:r w:rsidR="00E84A3A" w:rsidRPr="002659A3">
        <w:rPr>
          <w:bCs/>
          <w:color w:val="222222"/>
          <w:sz w:val="22"/>
          <w:szCs w:val="22"/>
          <w:lang w:eastAsia="bs-Latn-BA"/>
        </w:rPr>
        <w:t xml:space="preserve">the </w:t>
      </w:r>
      <w:r w:rsidR="00EF53AE" w:rsidRPr="002659A3">
        <w:rPr>
          <w:bCs/>
          <w:color w:val="222222"/>
          <w:sz w:val="22"/>
          <w:szCs w:val="22"/>
          <w:lang w:eastAsia="bs-Latn-BA"/>
        </w:rPr>
        <w:t>development of knowledge products</w:t>
      </w:r>
      <w:r w:rsidR="00EF53AE" w:rsidRPr="002659A3">
        <w:rPr>
          <w:rStyle w:val="FootnoteReference"/>
          <w:bCs/>
          <w:color w:val="222222"/>
          <w:sz w:val="22"/>
          <w:szCs w:val="22"/>
          <w:lang w:eastAsia="bs-Latn-BA"/>
        </w:rPr>
        <w:footnoteReference w:id="2"/>
      </w:r>
      <w:r w:rsidR="00743E60" w:rsidRPr="002659A3">
        <w:rPr>
          <w:sz w:val="22"/>
          <w:szCs w:val="22"/>
        </w:rPr>
        <w:t xml:space="preserve"> and </w:t>
      </w:r>
      <w:r w:rsidR="00E84A3A" w:rsidRPr="002659A3">
        <w:rPr>
          <w:sz w:val="22"/>
          <w:szCs w:val="22"/>
        </w:rPr>
        <w:t xml:space="preserve">a </w:t>
      </w:r>
      <w:r w:rsidR="00743E60" w:rsidRPr="002659A3">
        <w:rPr>
          <w:sz w:val="22"/>
          <w:szCs w:val="22"/>
        </w:rPr>
        <w:t xml:space="preserve">presentation was held on the role of internal audit and financial reporting in performance budgeting to consider potential cooperation of BCOP with other PEMPAL COPs. </w:t>
      </w:r>
    </w:p>
    <w:p w14:paraId="00967591" w14:textId="6FB4BAB4" w:rsidR="008C28B4" w:rsidRPr="002659A3" w:rsidRDefault="008C28B4" w:rsidP="00743E60">
      <w:pPr>
        <w:pStyle w:val="Heading1"/>
        <w:numPr>
          <w:ilvl w:val="0"/>
          <w:numId w:val="47"/>
        </w:numPr>
        <w:spacing w:before="0" w:afterLines="80" w:after="192" w:line="240" w:lineRule="auto"/>
        <w:ind w:left="450"/>
        <w:rPr>
          <w:rFonts w:ascii="Times New Roman" w:eastAsia="Times New Roman" w:hAnsi="Times New Roman" w:cs="Times New Roman"/>
          <w:b/>
          <w:sz w:val="22"/>
          <w:szCs w:val="22"/>
          <w:lang w:eastAsia="bs-Latn-BA"/>
        </w:rPr>
      </w:pPr>
      <w:bookmarkStart w:id="4" w:name="_Toc24712160"/>
      <w:bookmarkStart w:id="5" w:name="_Toc24897629"/>
      <w:r w:rsidRPr="002659A3">
        <w:rPr>
          <w:rFonts w:ascii="Times New Roman" w:eastAsia="Times New Roman" w:hAnsi="Times New Roman" w:cs="Times New Roman"/>
          <w:b/>
          <w:sz w:val="22"/>
          <w:szCs w:val="22"/>
          <w:lang w:eastAsia="bs-Latn-BA"/>
        </w:rPr>
        <w:t>Capturing Citizens’ Satisfaction, Perceptions, and Engagement in Performance Indicators</w:t>
      </w:r>
      <w:bookmarkEnd w:id="4"/>
      <w:bookmarkEnd w:id="5"/>
      <w:r w:rsidRPr="002659A3">
        <w:rPr>
          <w:rFonts w:ascii="Times New Roman" w:hAnsi="Times New Roman" w:cs="Times New Roman"/>
          <w:b/>
          <w:bCs/>
          <w:color w:val="538135" w:themeColor="accent6" w:themeShade="BF"/>
          <w:sz w:val="22"/>
          <w:szCs w:val="22"/>
        </w:rPr>
        <w:t xml:space="preserve"> </w:t>
      </w:r>
    </w:p>
    <w:p w14:paraId="58E73A42" w14:textId="73AB23B0" w:rsidR="005F726F" w:rsidRPr="002659A3" w:rsidRDefault="007B3D91" w:rsidP="00EF53AE">
      <w:pPr>
        <w:spacing w:afterLines="80" w:after="192"/>
        <w:jc w:val="both"/>
        <w:rPr>
          <w:sz w:val="22"/>
          <w:szCs w:val="22"/>
          <w:vertAlign w:val="superscript"/>
          <w:lang w:eastAsia="sl-SI"/>
        </w:rPr>
      </w:pPr>
      <w:r w:rsidRPr="002659A3">
        <w:rPr>
          <w:bCs/>
          <w:sz w:val="22"/>
          <w:szCs w:val="22"/>
          <w:lang w:eastAsia="sl-SI"/>
        </w:rPr>
        <w:t>On the topic of</w:t>
      </w:r>
      <w:r w:rsidR="00034C8F" w:rsidRPr="002659A3">
        <w:rPr>
          <w:sz w:val="22"/>
          <w:szCs w:val="22"/>
          <w:lang w:eastAsia="sl-SI"/>
        </w:rPr>
        <w:t xml:space="preserve"> capturing citiz</w:t>
      </w:r>
      <w:r w:rsidR="000B4E65" w:rsidRPr="002659A3">
        <w:rPr>
          <w:sz w:val="22"/>
          <w:szCs w:val="22"/>
          <w:lang w:eastAsia="sl-SI"/>
        </w:rPr>
        <w:t>e</w:t>
      </w:r>
      <w:r w:rsidR="00034C8F" w:rsidRPr="002659A3">
        <w:rPr>
          <w:sz w:val="22"/>
          <w:szCs w:val="22"/>
          <w:lang w:eastAsia="sl-SI"/>
        </w:rPr>
        <w:t>ns’ satisfaction, perceptions and engagement</w:t>
      </w:r>
      <w:r w:rsidRPr="002659A3">
        <w:rPr>
          <w:sz w:val="22"/>
          <w:szCs w:val="22"/>
          <w:lang w:eastAsia="sl-SI"/>
        </w:rPr>
        <w:t xml:space="preserve"> in performance indicators</w:t>
      </w:r>
      <w:r w:rsidR="00034C8F" w:rsidRPr="002659A3">
        <w:rPr>
          <w:sz w:val="22"/>
          <w:szCs w:val="22"/>
          <w:lang w:eastAsia="sl-SI"/>
        </w:rPr>
        <w:t>, p</w:t>
      </w:r>
      <w:r w:rsidR="00C07375" w:rsidRPr="002659A3">
        <w:rPr>
          <w:sz w:val="22"/>
          <w:szCs w:val="22"/>
          <w:lang w:eastAsia="sl-SI"/>
        </w:rPr>
        <w:t>resentations were delivered by</w:t>
      </w:r>
      <w:r w:rsidR="00C07375" w:rsidRPr="002659A3">
        <w:rPr>
          <w:b/>
          <w:sz w:val="22"/>
          <w:szCs w:val="22"/>
          <w:lang w:eastAsia="sl-SI"/>
        </w:rPr>
        <w:t xml:space="preserve"> </w:t>
      </w:r>
      <w:r w:rsidR="006C690F" w:rsidRPr="002659A3">
        <w:rPr>
          <w:b/>
          <w:sz w:val="22"/>
          <w:szCs w:val="22"/>
          <w:lang w:eastAsia="sl-SI"/>
        </w:rPr>
        <w:t xml:space="preserve">representatives of the </w:t>
      </w:r>
      <w:r w:rsidR="009F546C" w:rsidRPr="002659A3">
        <w:rPr>
          <w:b/>
          <w:sz w:val="22"/>
          <w:szCs w:val="22"/>
          <w:lang w:eastAsia="sl-SI"/>
        </w:rPr>
        <w:t>World Bank (</w:t>
      </w:r>
      <w:r w:rsidR="009F546C" w:rsidRPr="002659A3">
        <w:rPr>
          <w:iCs/>
          <w:color w:val="222222"/>
          <w:sz w:val="22"/>
          <w:szCs w:val="22"/>
          <w:shd w:val="clear" w:color="auto" w:fill="FFFFFF"/>
        </w:rPr>
        <w:t xml:space="preserve">Saki Kumagai,), </w:t>
      </w:r>
      <w:r w:rsidR="009F546C" w:rsidRPr="002659A3">
        <w:rPr>
          <w:b/>
          <w:iCs/>
          <w:color w:val="222222"/>
          <w:sz w:val="22"/>
          <w:szCs w:val="22"/>
          <w:shd w:val="clear" w:color="auto" w:fill="FFFFFF"/>
        </w:rPr>
        <w:t xml:space="preserve">OECD </w:t>
      </w:r>
      <w:r w:rsidR="009F546C" w:rsidRPr="002659A3">
        <w:rPr>
          <w:iCs/>
          <w:color w:val="222222"/>
          <w:sz w:val="22"/>
          <w:szCs w:val="22"/>
          <w:shd w:val="clear" w:color="auto" w:fill="FFFFFF"/>
        </w:rPr>
        <w:t xml:space="preserve">(Axel </w:t>
      </w:r>
      <w:r w:rsidR="009F546C" w:rsidRPr="002659A3">
        <w:rPr>
          <w:iCs/>
          <w:color w:val="222222"/>
          <w:sz w:val="22"/>
          <w:szCs w:val="22"/>
          <w:shd w:val="clear" w:color="auto" w:fill="FFFFFF"/>
        </w:rPr>
        <w:lastRenderedPageBreak/>
        <w:t xml:space="preserve">Mathot), </w:t>
      </w:r>
      <w:r w:rsidR="009F546C" w:rsidRPr="002659A3">
        <w:rPr>
          <w:b/>
          <w:iCs/>
          <w:color w:val="222222"/>
          <w:sz w:val="22"/>
          <w:szCs w:val="22"/>
          <w:shd w:val="clear" w:color="auto" w:fill="FFFFFF"/>
        </w:rPr>
        <w:t>France</w:t>
      </w:r>
      <w:r w:rsidR="009F546C" w:rsidRPr="002659A3">
        <w:rPr>
          <w:iCs/>
          <w:color w:val="222222"/>
          <w:sz w:val="22"/>
          <w:szCs w:val="22"/>
          <w:shd w:val="clear" w:color="auto" w:fill="FFFFFF"/>
        </w:rPr>
        <w:t xml:space="preserve"> (Pierre-Yves Le Corre), </w:t>
      </w:r>
      <w:r w:rsidR="00273078" w:rsidRPr="002659A3">
        <w:rPr>
          <w:iCs/>
          <w:color w:val="222222"/>
          <w:sz w:val="22"/>
          <w:szCs w:val="22"/>
          <w:shd w:val="clear" w:color="auto" w:fill="FFFFFF"/>
        </w:rPr>
        <w:t xml:space="preserve">and </w:t>
      </w:r>
      <w:r w:rsidR="009F546C" w:rsidRPr="002659A3">
        <w:rPr>
          <w:b/>
          <w:iCs/>
          <w:color w:val="222222"/>
          <w:sz w:val="22"/>
          <w:szCs w:val="22"/>
          <w:shd w:val="clear" w:color="auto" w:fill="FFFFFF"/>
        </w:rPr>
        <w:t xml:space="preserve">Canada </w:t>
      </w:r>
      <w:r w:rsidR="00273078" w:rsidRPr="002659A3">
        <w:rPr>
          <w:iCs/>
          <w:color w:val="222222"/>
          <w:sz w:val="22"/>
          <w:szCs w:val="22"/>
          <w:shd w:val="clear" w:color="auto" w:fill="FFFFFF"/>
        </w:rPr>
        <w:t>(Christine Minas).</w:t>
      </w:r>
      <w:r w:rsidR="00743E60" w:rsidRPr="002659A3">
        <w:rPr>
          <w:iCs/>
          <w:color w:val="222222"/>
          <w:sz w:val="22"/>
          <w:szCs w:val="22"/>
          <w:shd w:val="clear" w:color="auto" w:fill="FFFFFF"/>
        </w:rPr>
        <w:t xml:space="preserve"> </w:t>
      </w:r>
      <w:r w:rsidR="005F726F" w:rsidRPr="002659A3">
        <w:rPr>
          <w:sz w:val="22"/>
          <w:szCs w:val="22"/>
          <w:lang w:eastAsia="sl-SI"/>
        </w:rPr>
        <w:t>Group work was also conducted</w:t>
      </w:r>
      <w:r w:rsidR="00364328" w:rsidRPr="002659A3">
        <w:rPr>
          <w:sz w:val="22"/>
          <w:szCs w:val="22"/>
          <w:lang w:eastAsia="sl-SI"/>
        </w:rPr>
        <w:t>.</w:t>
      </w:r>
      <w:r w:rsidR="005F726F" w:rsidRPr="002659A3">
        <w:rPr>
          <w:sz w:val="22"/>
          <w:szCs w:val="22"/>
          <w:lang w:eastAsia="sl-SI"/>
        </w:rPr>
        <w:t xml:space="preserve"> </w:t>
      </w:r>
      <w:r w:rsidR="00364328" w:rsidRPr="002659A3">
        <w:rPr>
          <w:sz w:val="22"/>
          <w:szCs w:val="22"/>
          <w:lang w:eastAsia="sl-SI"/>
        </w:rPr>
        <w:t xml:space="preserve">It </w:t>
      </w:r>
      <w:r w:rsidR="005F726F" w:rsidRPr="002659A3">
        <w:rPr>
          <w:sz w:val="22"/>
          <w:szCs w:val="22"/>
          <w:lang w:eastAsia="sl-SI"/>
        </w:rPr>
        <w:t>facilitated rich discussion on citizen-centric performance indicators and engagement mechanisms that could be used when designing new programs in the sectors of education, health, transport, and environment. The group summary presentations can be found on the PEMPAL website.</w:t>
      </w:r>
      <w:r w:rsidR="005F726F" w:rsidRPr="002659A3">
        <w:rPr>
          <w:sz w:val="22"/>
          <w:szCs w:val="22"/>
          <w:vertAlign w:val="superscript"/>
          <w:lang w:eastAsia="sl-SI"/>
        </w:rPr>
        <w:footnoteReference w:id="3"/>
      </w:r>
    </w:p>
    <w:p w14:paraId="66A9FCCD" w14:textId="41FE13CF" w:rsidR="005A1144" w:rsidRPr="002659A3" w:rsidRDefault="008C28B4" w:rsidP="00EF53AE">
      <w:pPr>
        <w:pStyle w:val="Heading1"/>
        <w:spacing w:before="0" w:afterLines="80" w:after="192" w:line="240" w:lineRule="auto"/>
        <w:rPr>
          <w:rFonts w:ascii="Times New Roman" w:hAnsi="Times New Roman" w:cs="Times New Roman"/>
          <w:b/>
          <w:color w:val="538135" w:themeColor="accent6" w:themeShade="BF"/>
          <w:sz w:val="22"/>
          <w:szCs w:val="22"/>
        </w:rPr>
      </w:pPr>
      <w:bookmarkStart w:id="6" w:name="_Toc24712161"/>
      <w:bookmarkStart w:id="7" w:name="_Toc24897630"/>
      <w:r w:rsidRPr="002659A3">
        <w:rPr>
          <w:rFonts w:ascii="Times New Roman" w:hAnsi="Times New Roman" w:cs="Times New Roman"/>
          <w:b/>
          <w:bCs/>
          <w:color w:val="538135" w:themeColor="accent6" w:themeShade="BF"/>
          <w:sz w:val="22"/>
          <w:szCs w:val="22"/>
        </w:rPr>
        <w:t xml:space="preserve">How Does the World Bank Approach Citizen Engagement in </w:t>
      </w:r>
      <w:r w:rsidR="00005DAF" w:rsidRPr="002659A3">
        <w:rPr>
          <w:rFonts w:ascii="Times New Roman" w:hAnsi="Times New Roman" w:cs="Times New Roman"/>
          <w:b/>
          <w:bCs/>
          <w:color w:val="538135" w:themeColor="accent6" w:themeShade="BF"/>
          <w:sz w:val="22"/>
          <w:szCs w:val="22"/>
        </w:rPr>
        <w:t>Its</w:t>
      </w:r>
      <w:r w:rsidRPr="002659A3">
        <w:rPr>
          <w:rFonts w:ascii="Times New Roman" w:hAnsi="Times New Roman" w:cs="Times New Roman"/>
          <w:b/>
          <w:bCs/>
          <w:color w:val="538135" w:themeColor="accent6" w:themeShade="BF"/>
          <w:sz w:val="22"/>
          <w:szCs w:val="22"/>
        </w:rPr>
        <w:t xml:space="preserve"> </w:t>
      </w:r>
      <w:r w:rsidR="00005DAF" w:rsidRPr="002659A3">
        <w:rPr>
          <w:rFonts w:ascii="Times New Roman" w:hAnsi="Times New Roman" w:cs="Times New Roman"/>
          <w:b/>
          <w:bCs/>
          <w:color w:val="538135" w:themeColor="accent6" w:themeShade="BF"/>
          <w:sz w:val="22"/>
          <w:szCs w:val="22"/>
        </w:rPr>
        <w:t>Interventions</w:t>
      </w:r>
      <w:r w:rsidRPr="002659A3">
        <w:rPr>
          <w:rFonts w:ascii="Times New Roman" w:hAnsi="Times New Roman" w:cs="Times New Roman"/>
          <w:b/>
          <w:bCs/>
          <w:color w:val="538135" w:themeColor="accent6" w:themeShade="BF"/>
          <w:sz w:val="22"/>
          <w:szCs w:val="22"/>
        </w:rPr>
        <w:t>?</w:t>
      </w:r>
      <w:bookmarkEnd w:id="6"/>
      <w:bookmarkEnd w:id="7"/>
      <w:r w:rsidRPr="002659A3">
        <w:rPr>
          <w:rFonts w:ascii="Times New Roman" w:hAnsi="Times New Roman" w:cs="Times New Roman"/>
          <w:b/>
          <w:bCs/>
          <w:color w:val="538135" w:themeColor="accent6" w:themeShade="BF"/>
          <w:sz w:val="22"/>
          <w:szCs w:val="22"/>
        </w:rPr>
        <w:t xml:space="preserve"> </w:t>
      </w:r>
    </w:p>
    <w:p w14:paraId="2BFFFFCF" w14:textId="1BD2D6CE" w:rsidR="00F573FD" w:rsidRPr="002659A3" w:rsidRDefault="002251A7" w:rsidP="00AD0A84">
      <w:pPr>
        <w:spacing w:afterLines="80" w:after="192"/>
        <w:jc w:val="both"/>
        <w:rPr>
          <w:sz w:val="22"/>
          <w:szCs w:val="22"/>
        </w:rPr>
      </w:pPr>
      <w:r w:rsidRPr="002659A3">
        <w:rPr>
          <w:b/>
          <w:sz w:val="22"/>
          <w:szCs w:val="22"/>
        </w:rPr>
        <w:t xml:space="preserve">Saki Kumagai, </w:t>
      </w:r>
      <w:r w:rsidR="00FC6BE1" w:rsidRPr="002659A3">
        <w:rPr>
          <w:b/>
          <w:sz w:val="22"/>
          <w:szCs w:val="22"/>
        </w:rPr>
        <w:t xml:space="preserve">Governance Specialist, </w:t>
      </w:r>
      <w:r w:rsidR="002251E8" w:rsidRPr="002659A3">
        <w:rPr>
          <w:b/>
          <w:sz w:val="22"/>
          <w:szCs w:val="22"/>
        </w:rPr>
        <w:t xml:space="preserve">presented </w:t>
      </w:r>
      <w:r w:rsidR="004C2F9B" w:rsidRPr="002659A3">
        <w:rPr>
          <w:b/>
          <w:sz w:val="22"/>
          <w:szCs w:val="22"/>
        </w:rPr>
        <w:t>the World Bank</w:t>
      </w:r>
      <w:r w:rsidR="002D5784" w:rsidRPr="002659A3">
        <w:rPr>
          <w:b/>
          <w:sz w:val="22"/>
          <w:szCs w:val="22"/>
        </w:rPr>
        <w:t xml:space="preserve">’s approach to </w:t>
      </w:r>
      <w:r w:rsidR="004F5929" w:rsidRPr="002659A3">
        <w:rPr>
          <w:b/>
          <w:sz w:val="22"/>
          <w:szCs w:val="22"/>
        </w:rPr>
        <w:t>c</w:t>
      </w:r>
      <w:r w:rsidRPr="002659A3">
        <w:rPr>
          <w:b/>
          <w:sz w:val="22"/>
          <w:szCs w:val="22"/>
        </w:rPr>
        <w:t>itize</w:t>
      </w:r>
      <w:r w:rsidR="002D5784" w:rsidRPr="002659A3">
        <w:rPr>
          <w:b/>
          <w:sz w:val="22"/>
          <w:szCs w:val="22"/>
        </w:rPr>
        <w:t xml:space="preserve">n </w:t>
      </w:r>
      <w:r w:rsidR="004F5929" w:rsidRPr="002659A3">
        <w:rPr>
          <w:b/>
          <w:sz w:val="22"/>
          <w:szCs w:val="22"/>
        </w:rPr>
        <w:t>e</w:t>
      </w:r>
      <w:r w:rsidR="002D5784" w:rsidRPr="002659A3">
        <w:rPr>
          <w:b/>
          <w:sz w:val="22"/>
          <w:szCs w:val="22"/>
        </w:rPr>
        <w:t xml:space="preserve">ngagement for </w:t>
      </w:r>
      <w:r w:rsidR="004F5929" w:rsidRPr="002659A3">
        <w:rPr>
          <w:b/>
          <w:sz w:val="22"/>
          <w:szCs w:val="22"/>
        </w:rPr>
        <w:t>a</w:t>
      </w:r>
      <w:r w:rsidR="002D5784" w:rsidRPr="002659A3">
        <w:rPr>
          <w:b/>
          <w:sz w:val="22"/>
          <w:szCs w:val="22"/>
        </w:rPr>
        <w:t>ccountability</w:t>
      </w:r>
      <w:r w:rsidRPr="002659A3">
        <w:rPr>
          <w:b/>
          <w:sz w:val="22"/>
          <w:szCs w:val="22"/>
        </w:rPr>
        <w:t>.</w:t>
      </w:r>
      <w:r w:rsidR="00F87318" w:rsidRPr="002659A3">
        <w:rPr>
          <w:sz w:val="22"/>
          <w:szCs w:val="22"/>
        </w:rPr>
        <w:t xml:space="preserve"> </w:t>
      </w:r>
      <w:r w:rsidR="007B0356" w:rsidRPr="002659A3">
        <w:rPr>
          <w:sz w:val="22"/>
          <w:szCs w:val="22"/>
        </w:rPr>
        <w:t xml:space="preserve">The World Bank </w:t>
      </w:r>
      <w:r w:rsidR="00235085" w:rsidRPr="002659A3">
        <w:rPr>
          <w:sz w:val="22"/>
          <w:szCs w:val="22"/>
        </w:rPr>
        <w:t xml:space="preserve">defines </w:t>
      </w:r>
      <w:r w:rsidR="00FC6BE1" w:rsidRPr="002659A3">
        <w:rPr>
          <w:sz w:val="22"/>
          <w:szCs w:val="22"/>
        </w:rPr>
        <w:t>‘c</w:t>
      </w:r>
      <w:r w:rsidR="007B0356" w:rsidRPr="002659A3">
        <w:rPr>
          <w:sz w:val="22"/>
          <w:szCs w:val="22"/>
        </w:rPr>
        <w:t xml:space="preserve">itizen </w:t>
      </w:r>
      <w:r w:rsidR="00FC6BE1" w:rsidRPr="002659A3">
        <w:rPr>
          <w:sz w:val="22"/>
          <w:szCs w:val="22"/>
        </w:rPr>
        <w:t>e</w:t>
      </w:r>
      <w:r w:rsidR="007B0356" w:rsidRPr="002659A3">
        <w:rPr>
          <w:sz w:val="22"/>
          <w:szCs w:val="22"/>
        </w:rPr>
        <w:t>ngagement</w:t>
      </w:r>
      <w:r w:rsidR="00FC6BE1" w:rsidRPr="002659A3">
        <w:rPr>
          <w:sz w:val="22"/>
          <w:szCs w:val="22"/>
        </w:rPr>
        <w:t>’</w:t>
      </w:r>
      <w:r w:rsidR="004564C9" w:rsidRPr="002659A3">
        <w:rPr>
          <w:sz w:val="22"/>
          <w:szCs w:val="22"/>
        </w:rPr>
        <w:t xml:space="preserve"> as a two-</w:t>
      </w:r>
      <w:r w:rsidR="00235085" w:rsidRPr="002659A3">
        <w:rPr>
          <w:sz w:val="22"/>
          <w:szCs w:val="22"/>
        </w:rPr>
        <w:t>way interaction between citizens and governments that gives citi</w:t>
      </w:r>
      <w:r w:rsidR="007B0356" w:rsidRPr="002659A3">
        <w:rPr>
          <w:sz w:val="22"/>
          <w:szCs w:val="22"/>
        </w:rPr>
        <w:t xml:space="preserve">zens a stake in decision-making. </w:t>
      </w:r>
      <w:r w:rsidR="00235085" w:rsidRPr="002659A3">
        <w:rPr>
          <w:sz w:val="22"/>
          <w:szCs w:val="22"/>
        </w:rPr>
        <w:t>Its objective is to improve the intermediate and final developmen</w:t>
      </w:r>
      <w:r w:rsidR="004564C9" w:rsidRPr="002659A3">
        <w:rPr>
          <w:sz w:val="22"/>
          <w:szCs w:val="22"/>
        </w:rPr>
        <w:t xml:space="preserve">t outcomes of the </w:t>
      </w:r>
      <w:r w:rsidR="00366052" w:rsidRPr="002659A3">
        <w:rPr>
          <w:sz w:val="22"/>
          <w:szCs w:val="22"/>
        </w:rPr>
        <w:t xml:space="preserve">Bank-financed </w:t>
      </w:r>
      <w:r w:rsidR="004564C9" w:rsidRPr="002659A3">
        <w:rPr>
          <w:sz w:val="22"/>
          <w:szCs w:val="22"/>
        </w:rPr>
        <w:t>interventions</w:t>
      </w:r>
      <w:r w:rsidR="00AB14D0" w:rsidRPr="002659A3">
        <w:rPr>
          <w:sz w:val="22"/>
          <w:szCs w:val="22"/>
        </w:rPr>
        <w:t xml:space="preserve">.  </w:t>
      </w:r>
      <w:r w:rsidR="00FC6BE1" w:rsidRPr="002659A3">
        <w:rPr>
          <w:sz w:val="22"/>
          <w:szCs w:val="22"/>
        </w:rPr>
        <w:t>Ms</w:t>
      </w:r>
      <w:r w:rsidR="001763E2" w:rsidRPr="002659A3">
        <w:rPr>
          <w:sz w:val="22"/>
          <w:szCs w:val="22"/>
        </w:rPr>
        <w:t>.</w:t>
      </w:r>
      <w:r w:rsidR="00FC6BE1" w:rsidRPr="002659A3">
        <w:rPr>
          <w:sz w:val="22"/>
          <w:szCs w:val="22"/>
        </w:rPr>
        <w:t xml:space="preserve"> Kumagai</w:t>
      </w:r>
      <w:r w:rsidR="000D46B5" w:rsidRPr="002659A3">
        <w:rPr>
          <w:sz w:val="22"/>
          <w:szCs w:val="22"/>
        </w:rPr>
        <w:t xml:space="preserve"> </w:t>
      </w:r>
      <w:r w:rsidR="007B0356" w:rsidRPr="002659A3">
        <w:rPr>
          <w:sz w:val="22"/>
          <w:szCs w:val="22"/>
        </w:rPr>
        <w:t>identified t</w:t>
      </w:r>
      <w:r w:rsidR="000D46B5" w:rsidRPr="002659A3">
        <w:rPr>
          <w:sz w:val="22"/>
          <w:szCs w:val="22"/>
        </w:rPr>
        <w:t xml:space="preserve">hree </w:t>
      </w:r>
      <w:r w:rsidR="007B0356" w:rsidRPr="002659A3">
        <w:rPr>
          <w:sz w:val="22"/>
          <w:szCs w:val="22"/>
        </w:rPr>
        <w:t xml:space="preserve">key </w:t>
      </w:r>
      <w:r w:rsidR="000D46B5" w:rsidRPr="002659A3">
        <w:rPr>
          <w:sz w:val="22"/>
          <w:szCs w:val="22"/>
        </w:rPr>
        <w:t>steps</w:t>
      </w:r>
      <w:r w:rsidR="001763E2" w:rsidRPr="002659A3">
        <w:rPr>
          <w:sz w:val="22"/>
          <w:szCs w:val="22"/>
        </w:rPr>
        <w:t xml:space="preserve"> for engaging citizens</w:t>
      </w:r>
      <w:r w:rsidR="007B0356" w:rsidRPr="002659A3">
        <w:rPr>
          <w:sz w:val="22"/>
          <w:szCs w:val="22"/>
        </w:rPr>
        <w:t xml:space="preserve">: </w:t>
      </w:r>
      <w:r w:rsidR="00005DAF" w:rsidRPr="002659A3">
        <w:rPr>
          <w:sz w:val="22"/>
          <w:szCs w:val="22"/>
        </w:rPr>
        <w:t>firstly,</w:t>
      </w:r>
      <w:r w:rsidR="000D46B5" w:rsidRPr="002659A3">
        <w:rPr>
          <w:sz w:val="22"/>
          <w:szCs w:val="22"/>
        </w:rPr>
        <w:t xml:space="preserve"> </w:t>
      </w:r>
      <w:r w:rsidR="007B0356" w:rsidRPr="002659A3">
        <w:rPr>
          <w:sz w:val="22"/>
          <w:szCs w:val="22"/>
        </w:rPr>
        <w:t xml:space="preserve">to </w:t>
      </w:r>
      <w:r w:rsidR="000D46B5" w:rsidRPr="002659A3">
        <w:rPr>
          <w:sz w:val="22"/>
          <w:szCs w:val="22"/>
        </w:rPr>
        <w:t>share information</w:t>
      </w:r>
      <w:r w:rsidR="00005DAF" w:rsidRPr="002659A3">
        <w:rPr>
          <w:sz w:val="22"/>
          <w:szCs w:val="22"/>
        </w:rPr>
        <w:t>;</w:t>
      </w:r>
      <w:r w:rsidR="000D46B5" w:rsidRPr="002659A3">
        <w:rPr>
          <w:sz w:val="22"/>
          <w:szCs w:val="22"/>
        </w:rPr>
        <w:t xml:space="preserve"> </w:t>
      </w:r>
      <w:r w:rsidR="00E62FF8" w:rsidRPr="002659A3">
        <w:rPr>
          <w:sz w:val="22"/>
          <w:szCs w:val="22"/>
        </w:rPr>
        <w:t>second</w:t>
      </w:r>
      <w:r w:rsidR="00961AC3" w:rsidRPr="002659A3">
        <w:rPr>
          <w:sz w:val="22"/>
          <w:szCs w:val="22"/>
        </w:rPr>
        <w:t>ly</w:t>
      </w:r>
      <w:r w:rsidR="00005DAF" w:rsidRPr="002659A3">
        <w:rPr>
          <w:sz w:val="22"/>
          <w:szCs w:val="22"/>
        </w:rPr>
        <w:t>,</w:t>
      </w:r>
      <w:r w:rsidR="00E62FF8" w:rsidRPr="002659A3">
        <w:rPr>
          <w:sz w:val="22"/>
          <w:szCs w:val="22"/>
        </w:rPr>
        <w:t xml:space="preserve"> to </w:t>
      </w:r>
      <w:r w:rsidR="001763E2" w:rsidRPr="002659A3">
        <w:rPr>
          <w:sz w:val="22"/>
          <w:szCs w:val="22"/>
        </w:rPr>
        <w:t xml:space="preserve">collect </w:t>
      </w:r>
      <w:r w:rsidR="000D46B5" w:rsidRPr="002659A3">
        <w:rPr>
          <w:sz w:val="22"/>
          <w:szCs w:val="22"/>
        </w:rPr>
        <w:t xml:space="preserve">feedback </w:t>
      </w:r>
      <w:r w:rsidR="001763E2" w:rsidRPr="002659A3">
        <w:rPr>
          <w:sz w:val="22"/>
          <w:szCs w:val="22"/>
        </w:rPr>
        <w:t>from citizens</w:t>
      </w:r>
      <w:r w:rsidR="00005DAF" w:rsidRPr="002659A3">
        <w:rPr>
          <w:sz w:val="22"/>
          <w:szCs w:val="22"/>
        </w:rPr>
        <w:t xml:space="preserve"> (either continuous or solicited, e.g. through a survey); </w:t>
      </w:r>
      <w:r w:rsidR="000D46B5" w:rsidRPr="002659A3">
        <w:rPr>
          <w:sz w:val="22"/>
          <w:szCs w:val="22"/>
        </w:rPr>
        <w:t xml:space="preserve">and </w:t>
      </w:r>
      <w:r w:rsidR="00E62FF8" w:rsidRPr="002659A3">
        <w:rPr>
          <w:sz w:val="22"/>
          <w:szCs w:val="22"/>
        </w:rPr>
        <w:t>third</w:t>
      </w:r>
      <w:r w:rsidR="004564C9" w:rsidRPr="002659A3">
        <w:rPr>
          <w:sz w:val="22"/>
          <w:szCs w:val="22"/>
        </w:rPr>
        <w:t>ly</w:t>
      </w:r>
      <w:r w:rsidR="00005DAF" w:rsidRPr="002659A3">
        <w:rPr>
          <w:sz w:val="22"/>
          <w:szCs w:val="22"/>
        </w:rPr>
        <w:t>,</w:t>
      </w:r>
      <w:r w:rsidR="00E62FF8" w:rsidRPr="002659A3">
        <w:rPr>
          <w:sz w:val="22"/>
          <w:szCs w:val="22"/>
        </w:rPr>
        <w:t xml:space="preserve"> </w:t>
      </w:r>
      <w:r w:rsidR="004C50B7" w:rsidRPr="002659A3">
        <w:rPr>
          <w:sz w:val="22"/>
          <w:szCs w:val="22"/>
        </w:rPr>
        <w:t xml:space="preserve">for government </w:t>
      </w:r>
      <w:r w:rsidR="00E62FF8" w:rsidRPr="002659A3">
        <w:rPr>
          <w:sz w:val="22"/>
          <w:szCs w:val="22"/>
        </w:rPr>
        <w:t xml:space="preserve">to </w:t>
      </w:r>
      <w:r w:rsidR="001763E2" w:rsidRPr="002659A3">
        <w:rPr>
          <w:sz w:val="22"/>
          <w:szCs w:val="22"/>
        </w:rPr>
        <w:t xml:space="preserve">take action and </w:t>
      </w:r>
      <w:r w:rsidR="000D46B5" w:rsidRPr="002659A3">
        <w:rPr>
          <w:sz w:val="22"/>
          <w:szCs w:val="22"/>
        </w:rPr>
        <w:t>communicate</w:t>
      </w:r>
      <w:r w:rsidR="004564C9" w:rsidRPr="002659A3">
        <w:rPr>
          <w:sz w:val="22"/>
          <w:szCs w:val="22"/>
        </w:rPr>
        <w:t xml:space="preserve"> </w:t>
      </w:r>
      <w:r w:rsidR="001763E2" w:rsidRPr="002659A3">
        <w:rPr>
          <w:sz w:val="22"/>
          <w:szCs w:val="22"/>
        </w:rPr>
        <w:t xml:space="preserve">to citizens </w:t>
      </w:r>
      <w:r w:rsidR="004C50B7" w:rsidRPr="002659A3">
        <w:rPr>
          <w:sz w:val="22"/>
          <w:szCs w:val="22"/>
        </w:rPr>
        <w:t xml:space="preserve">on the actions taken, </w:t>
      </w:r>
      <w:r w:rsidR="004564C9" w:rsidRPr="002659A3">
        <w:rPr>
          <w:sz w:val="22"/>
          <w:szCs w:val="22"/>
        </w:rPr>
        <w:t>how th</w:t>
      </w:r>
      <w:r w:rsidR="001763E2" w:rsidRPr="002659A3">
        <w:rPr>
          <w:sz w:val="22"/>
          <w:szCs w:val="22"/>
        </w:rPr>
        <w:t xml:space="preserve">eir </w:t>
      </w:r>
      <w:r w:rsidR="004564C9" w:rsidRPr="002659A3">
        <w:rPr>
          <w:sz w:val="22"/>
          <w:szCs w:val="22"/>
        </w:rPr>
        <w:t>feedback was</w:t>
      </w:r>
      <w:r w:rsidR="001763E2" w:rsidRPr="002659A3">
        <w:rPr>
          <w:sz w:val="22"/>
          <w:szCs w:val="22"/>
        </w:rPr>
        <w:t xml:space="preserve"> used</w:t>
      </w:r>
      <w:r w:rsidR="004C50B7" w:rsidRPr="002659A3">
        <w:rPr>
          <w:sz w:val="22"/>
          <w:szCs w:val="22"/>
        </w:rPr>
        <w:t xml:space="preserve"> or not used, and why</w:t>
      </w:r>
      <w:r w:rsidR="000D46B5" w:rsidRPr="002659A3">
        <w:rPr>
          <w:sz w:val="22"/>
          <w:szCs w:val="22"/>
        </w:rPr>
        <w:t xml:space="preserve">. </w:t>
      </w:r>
      <w:r w:rsidR="00B97FF8" w:rsidRPr="002659A3">
        <w:rPr>
          <w:sz w:val="22"/>
          <w:szCs w:val="22"/>
        </w:rPr>
        <w:t xml:space="preserve">The feedback loop is closed when these three steps are taken. </w:t>
      </w:r>
      <w:r w:rsidR="00005DAF" w:rsidRPr="002659A3">
        <w:rPr>
          <w:sz w:val="22"/>
          <w:szCs w:val="22"/>
        </w:rPr>
        <w:t>She advised that the regional and country context matter greatly when designing</w:t>
      </w:r>
      <w:r w:rsidR="008A1885" w:rsidRPr="002659A3">
        <w:rPr>
          <w:sz w:val="22"/>
          <w:szCs w:val="22"/>
        </w:rPr>
        <w:t xml:space="preserve"> and implementing</w:t>
      </w:r>
      <w:r w:rsidR="00005DAF" w:rsidRPr="002659A3">
        <w:rPr>
          <w:sz w:val="22"/>
          <w:szCs w:val="22"/>
        </w:rPr>
        <w:t xml:space="preserve"> the citizen engagement. </w:t>
      </w:r>
      <w:r w:rsidR="00DD7384" w:rsidRPr="002659A3">
        <w:rPr>
          <w:sz w:val="22"/>
          <w:szCs w:val="22"/>
        </w:rPr>
        <w:t>M</w:t>
      </w:r>
      <w:r w:rsidR="00005DAF" w:rsidRPr="002659A3">
        <w:rPr>
          <w:sz w:val="22"/>
          <w:szCs w:val="22"/>
        </w:rPr>
        <w:t xml:space="preserve">ost of </w:t>
      </w:r>
      <w:r w:rsidR="004D3A28" w:rsidRPr="002659A3">
        <w:rPr>
          <w:sz w:val="22"/>
          <w:szCs w:val="22"/>
        </w:rPr>
        <w:t>citizen engagement</w:t>
      </w:r>
      <w:r w:rsidR="00A10861" w:rsidRPr="002659A3">
        <w:rPr>
          <w:sz w:val="22"/>
          <w:szCs w:val="22"/>
        </w:rPr>
        <w:t xml:space="preserve"> activities in Bank-financed investment operations on public financial management focus on</w:t>
      </w:r>
      <w:r w:rsidR="00005DAF" w:rsidRPr="002659A3">
        <w:rPr>
          <w:sz w:val="22"/>
          <w:szCs w:val="22"/>
        </w:rPr>
        <w:t xml:space="preserve"> the transparency aspect, i.e.</w:t>
      </w:r>
      <w:r w:rsidR="004D3A28" w:rsidRPr="002659A3">
        <w:rPr>
          <w:sz w:val="22"/>
          <w:szCs w:val="22"/>
        </w:rPr>
        <w:t>,</w:t>
      </w:r>
      <w:r w:rsidR="00005DAF" w:rsidRPr="002659A3">
        <w:rPr>
          <w:sz w:val="22"/>
          <w:szCs w:val="22"/>
        </w:rPr>
        <w:t xml:space="preserve"> the </w:t>
      </w:r>
      <w:r w:rsidR="00A10861" w:rsidRPr="002659A3">
        <w:rPr>
          <w:sz w:val="22"/>
          <w:szCs w:val="22"/>
        </w:rPr>
        <w:t xml:space="preserve">first step </w:t>
      </w:r>
      <w:r w:rsidR="00005DAF" w:rsidRPr="002659A3">
        <w:rPr>
          <w:sz w:val="22"/>
          <w:szCs w:val="22"/>
        </w:rPr>
        <w:t xml:space="preserve">of </w:t>
      </w:r>
      <w:r w:rsidR="00A10861" w:rsidRPr="002659A3">
        <w:rPr>
          <w:sz w:val="22"/>
          <w:szCs w:val="22"/>
        </w:rPr>
        <w:t xml:space="preserve">the feedback loop to share information. </w:t>
      </w:r>
      <w:r w:rsidR="00005DAF" w:rsidRPr="002659A3">
        <w:rPr>
          <w:sz w:val="22"/>
          <w:szCs w:val="22"/>
        </w:rPr>
        <w:t xml:space="preserve">Thus, the </w:t>
      </w:r>
      <w:r w:rsidR="00B97FF8" w:rsidRPr="002659A3">
        <w:rPr>
          <w:sz w:val="22"/>
          <w:szCs w:val="22"/>
        </w:rPr>
        <w:t xml:space="preserve">Bank’s </w:t>
      </w:r>
      <w:r w:rsidR="00A10861" w:rsidRPr="002659A3">
        <w:rPr>
          <w:sz w:val="22"/>
          <w:szCs w:val="22"/>
        </w:rPr>
        <w:t>Governance Global Practice</w:t>
      </w:r>
      <w:r w:rsidR="00005DAF" w:rsidRPr="002659A3">
        <w:rPr>
          <w:sz w:val="22"/>
          <w:szCs w:val="22"/>
        </w:rPr>
        <w:t xml:space="preserve"> developed a report </w:t>
      </w:r>
      <w:r w:rsidR="00005DAF" w:rsidRPr="002659A3">
        <w:rPr>
          <w:i/>
          <w:iCs/>
          <w:sz w:val="22"/>
          <w:szCs w:val="22"/>
        </w:rPr>
        <w:t>Mainstreaming Citizen Engagement in PFM for Better Results</w:t>
      </w:r>
      <w:r w:rsidR="00005DAF" w:rsidRPr="002659A3">
        <w:rPr>
          <w:sz w:val="22"/>
          <w:szCs w:val="22"/>
        </w:rPr>
        <w:t xml:space="preserve">, </w:t>
      </w:r>
      <w:r w:rsidR="00B97FF8" w:rsidRPr="002659A3">
        <w:rPr>
          <w:sz w:val="22"/>
          <w:szCs w:val="22"/>
        </w:rPr>
        <w:t xml:space="preserve">which </w:t>
      </w:r>
      <w:r w:rsidR="00005DAF" w:rsidRPr="002659A3">
        <w:rPr>
          <w:sz w:val="22"/>
          <w:szCs w:val="22"/>
        </w:rPr>
        <w:t>provide</w:t>
      </w:r>
      <w:r w:rsidR="00B97FF8" w:rsidRPr="002659A3">
        <w:rPr>
          <w:sz w:val="22"/>
          <w:szCs w:val="22"/>
        </w:rPr>
        <w:t>s</w:t>
      </w:r>
      <w:r w:rsidR="00005DAF" w:rsidRPr="002659A3">
        <w:rPr>
          <w:sz w:val="22"/>
          <w:szCs w:val="22"/>
        </w:rPr>
        <w:t xml:space="preserve"> a menu of citizen engagement entry points in PFM to strengthen governments’ core functions.</w:t>
      </w:r>
      <w:r w:rsidR="00AD0A84" w:rsidRPr="002659A3">
        <w:rPr>
          <w:sz w:val="22"/>
          <w:szCs w:val="22"/>
        </w:rPr>
        <w:t xml:space="preserve"> The </w:t>
      </w:r>
      <w:r w:rsidR="00A10861" w:rsidRPr="002659A3">
        <w:rPr>
          <w:sz w:val="22"/>
          <w:szCs w:val="22"/>
        </w:rPr>
        <w:t>suggested</w:t>
      </w:r>
      <w:r w:rsidR="00AD0A84" w:rsidRPr="002659A3">
        <w:rPr>
          <w:sz w:val="22"/>
          <w:szCs w:val="22"/>
        </w:rPr>
        <w:t xml:space="preserve"> </w:t>
      </w:r>
      <w:r w:rsidR="00821809" w:rsidRPr="002659A3">
        <w:rPr>
          <w:sz w:val="22"/>
          <w:szCs w:val="22"/>
        </w:rPr>
        <w:t>principles</w:t>
      </w:r>
      <w:r w:rsidR="004564C9" w:rsidRPr="002659A3">
        <w:rPr>
          <w:sz w:val="22"/>
          <w:szCs w:val="22"/>
        </w:rPr>
        <w:t xml:space="preserve"> </w:t>
      </w:r>
      <w:r w:rsidR="00AD0A84" w:rsidRPr="002659A3">
        <w:rPr>
          <w:sz w:val="22"/>
          <w:szCs w:val="22"/>
        </w:rPr>
        <w:t xml:space="preserve">of citizens engagement </w:t>
      </w:r>
      <w:r w:rsidR="004564C9" w:rsidRPr="002659A3">
        <w:rPr>
          <w:sz w:val="22"/>
          <w:szCs w:val="22"/>
        </w:rPr>
        <w:t>for operations</w:t>
      </w:r>
      <w:r w:rsidR="00AD0A84" w:rsidRPr="002659A3">
        <w:rPr>
          <w:sz w:val="22"/>
          <w:szCs w:val="22"/>
        </w:rPr>
        <w:t xml:space="preserve"> </w:t>
      </w:r>
      <w:r w:rsidR="00A10861" w:rsidRPr="002659A3">
        <w:rPr>
          <w:sz w:val="22"/>
          <w:szCs w:val="22"/>
        </w:rPr>
        <w:t xml:space="preserve">it finances </w:t>
      </w:r>
      <w:r w:rsidR="00AD0A84" w:rsidRPr="002659A3">
        <w:rPr>
          <w:sz w:val="22"/>
          <w:szCs w:val="22"/>
        </w:rPr>
        <w:t xml:space="preserve">include </w:t>
      </w:r>
      <w:r w:rsidR="00A10861" w:rsidRPr="002659A3">
        <w:rPr>
          <w:sz w:val="22"/>
          <w:szCs w:val="22"/>
        </w:rPr>
        <w:t>the following</w:t>
      </w:r>
      <w:r w:rsidR="00AD0A84" w:rsidRPr="002659A3">
        <w:rPr>
          <w:sz w:val="22"/>
          <w:szCs w:val="22"/>
        </w:rPr>
        <w:t xml:space="preserve">: transparency, accessibility, inclusivity, timeliness, multiple engagement channels and tools, sustainability and scale, closing the feedback loop, government ownership, and reciprocity. Ms. Kumagai discussed </w:t>
      </w:r>
      <w:r w:rsidR="002C2E73" w:rsidRPr="002659A3">
        <w:rPr>
          <w:sz w:val="22"/>
          <w:szCs w:val="22"/>
        </w:rPr>
        <w:t xml:space="preserve">examples </w:t>
      </w:r>
      <w:r w:rsidR="00AD0A84" w:rsidRPr="002659A3">
        <w:rPr>
          <w:sz w:val="22"/>
          <w:szCs w:val="22"/>
        </w:rPr>
        <w:t xml:space="preserve">of budget transparency initiatives </w:t>
      </w:r>
      <w:r w:rsidR="00B97FF8" w:rsidRPr="002659A3">
        <w:rPr>
          <w:sz w:val="22"/>
          <w:szCs w:val="22"/>
        </w:rPr>
        <w:t xml:space="preserve">in </w:t>
      </w:r>
      <w:r w:rsidR="002C2E73" w:rsidRPr="002659A3">
        <w:rPr>
          <w:sz w:val="22"/>
          <w:szCs w:val="22"/>
        </w:rPr>
        <w:t>Cameroon and</w:t>
      </w:r>
      <w:r w:rsidR="00A10861" w:rsidRPr="002659A3">
        <w:rPr>
          <w:sz w:val="22"/>
          <w:szCs w:val="22"/>
        </w:rPr>
        <w:t xml:space="preserve"> participatory budgeting in</w:t>
      </w:r>
      <w:r w:rsidR="002C2E73" w:rsidRPr="002659A3">
        <w:rPr>
          <w:sz w:val="22"/>
          <w:szCs w:val="22"/>
        </w:rPr>
        <w:t xml:space="preserve"> Mexico to illustrate the </w:t>
      </w:r>
      <w:r w:rsidR="00B97FF8" w:rsidRPr="002659A3">
        <w:rPr>
          <w:sz w:val="22"/>
          <w:szCs w:val="22"/>
        </w:rPr>
        <w:t xml:space="preserve">outputs and </w:t>
      </w:r>
      <w:r w:rsidR="001C5826" w:rsidRPr="002659A3">
        <w:rPr>
          <w:sz w:val="22"/>
          <w:szCs w:val="22"/>
        </w:rPr>
        <w:t xml:space="preserve">outcomes </w:t>
      </w:r>
      <w:r w:rsidR="00743E60" w:rsidRPr="002659A3">
        <w:rPr>
          <w:sz w:val="22"/>
          <w:szCs w:val="22"/>
        </w:rPr>
        <w:t>of citi</w:t>
      </w:r>
      <w:r w:rsidR="001C5826" w:rsidRPr="002659A3">
        <w:rPr>
          <w:sz w:val="22"/>
          <w:szCs w:val="22"/>
        </w:rPr>
        <w:t>zen engagement</w:t>
      </w:r>
      <w:r w:rsidR="002C2E73" w:rsidRPr="002659A3">
        <w:rPr>
          <w:sz w:val="22"/>
          <w:szCs w:val="22"/>
        </w:rPr>
        <w:t>.</w:t>
      </w:r>
      <w:r w:rsidR="002C2E73" w:rsidRPr="002659A3">
        <w:rPr>
          <w:rStyle w:val="FootnoteReference"/>
          <w:sz w:val="22"/>
          <w:szCs w:val="22"/>
        </w:rPr>
        <w:footnoteReference w:id="4"/>
      </w:r>
      <w:r w:rsidR="002C2E73" w:rsidRPr="002659A3">
        <w:rPr>
          <w:sz w:val="22"/>
          <w:szCs w:val="22"/>
        </w:rPr>
        <w:t xml:space="preserve"> </w:t>
      </w:r>
    </w:p>
    <w:p w14:paraId="4BAC15CC" w14:textId="6D1C4A9E" w:rsidR="00F573FD" w:rsidRPr="002659A3" w:rsidRDefault="00EF4F73" w:rsidP="00EF53AE">
      <w:pPr>
        <w:spacing w:afterLines="80" w:after="192"/>
        <w:jc w:val="both"/>
        <w:rPr>
          <w:sz w:val="22"/>
          <w:szCs w:val="22"/>
        </w:rPr>
      </w:pPr>
      <w:r w:rsidRPr="002659A3">
        <w:rPr>
          <w:sz w:val="22"/>
          <w:szCs w:val="22"/>
        </w:rPr>
        <w:t>Ms</w:t>
      </w:r>
      <w:r w:rsidR="00AC38EE" w:rsidRPr="002659A3">
        <w:rPr>
          <w:sz w:val="22"/>
          <w:szCs w:val="22"/>
        </w:rPr>
        <w:t>.</w:t>
      </w:r>
      <w:r w:rsidRPr="002659A3">
        <w:rPr>
          <w:sz w:val="22"/>
          <w:szCs w:val="22"/>
        </w:rPr>
        <w:t xml:space="preserve"> Kumagai identified key trends</w:t>
      </w:r>
      <w:r w:rsidR="00AD0A84" w:rsidRPr="002659A3">
        <w:rPr>
          <w:sz w:val="22"/>
          <w:szCs w:val="22"/>
        </w:rPr>
        <w:t xml:space="preserve"> in citizen engagement in PFM</w:t>
      </w:r>
      <w:r w:rsidR="00B97FF8" w:rsidRPr="002659A3">
        <w:rPr>
          <w:sz w:val="22"/>
          <w:szCs w:val="22"/>
        </w:rPr>
        <w:t xml:space="preserve">: </w:t>
      </w:r>
      <w:r w:rsidR="005B5A70" w:rsidRPr="002659A3">
        <w:rPr>
          <w:sz w:val="22"/>
          <w:szCs w:val="22"/>
        </w:rPr>
        <w:t>t</w:t>
      </w:r>
      <w:r w:rsidR="00B97FF8" w:rsidRPr="002659A3">
        <w:rPr>
          <w:sz w:val="22"/>
          <w:szCs w:val="22"/>
        </w:rPr>
        <w:t xml:space="preserve">here is a </w:t>
      </w:r>
      <w:r w:rsidRPr="002659A3">
        <w:rPr>
          <w:sz w:val="22"/>
          <w:szCs w:val="22"/>
        </w:rPr>
        <w:t>nee</w:t>
      </w:r>
      <w:r w:rsidR="00E62FF8" w:rsidRPr="002659A3">
        <w:rPr>
          <w:sz w:val="22"/>
          <w:szCs w:val="22"/>
        </w:rPr>
        <w:t xml:space="preserve">d to move beyond transparency, noting however that </w:t>
      </w:r>
      <w:r w:rsidRPr="002659A3">
        <w:rPr>
          <w:sz w:val="22"/>
          <w:szCs w:val="22"/>
        </w:rPr>
        <w:t>transparency is the fo</w:t>
      </w:r>
      <w:r w:rsidR="00F573FD" w:rsidRPr="002659A3">
        <w:rPr>
          <w:sz w:val="22"/>
          <w:szCs w:val="22"/>
        </w:rPr>
        <w:t xml:space="preserve">undation </w:t>
      </w:r>
      <w:r w:rsidR="00B97FF8" w:rsidRPr="002659A3">
        <w:rPr>
          <w:sz w:val="22"/>
          <w:szCs w:val="22"/>
        </w:rPr>
        <w:t>for</w:t>
      </w:r>
      <w:r w:rsidR="00F573FD" w:rsidRPr="002659A3">
        <w:rPr>
          <w:sz w:val="22"/>
          <w:szCs w:val="22"/>
        </w:rPr>
        <w:t xml:space="preserve"> effective c</w:t>
      </w:r>
      <w:r w:rsidR="00E62FF8" w:rsidRPr="002659A3">
        <w:rPr>
          <w:sz w:val="22"/>
          <w:szCs w:val="22"/>
        </w:rPr>
        <w:t xml:space="preserve">itizen </w:t>
      </w:r>
      <w:r w:rsidR="00F573FD" w:rsidRPr="002659A3">
        <w:rPr>
          <w:sz w:val="22"/>
          <w:szCs w:val="22"/>
        </w:rPr>
        <w:t>e</w:t>
      </w:r>
      <w:r w:rsidR="00E62FF8" w:rsidRPr="002659A3">
        <w:rPr>
          <w:sz w:val="22"/>
          <w:szCs w:val="22"/>
        </w:rPr>
        <w:t>ngagement</w:t>
      </w:r>
      <w:r w:rsidR="00B97FF8" w:rsidRPr="002659A3">
        <w:rPr>
          <w:sz w:val="22"/>
          <w:szCs w:val="22"/>
        </w:rPr>
        <w:t xml:space="preserve">; effective citizen engagement in the PFM cycle requires budget literacy; and context matters. </w:t>
      </w:r>
      <w:r w:rsidR="00A10861" w:rsidRPr="002659A3">
        <w:rPr>
          <w:sz w:val="22"/>
          <w:szCs w:val="22"/>
        </w:rPr>
        <w:t xml:space="preserve">Two types of engagement—engagement with the general public for their broad feedback and engagement with small, select, specialized groups for their in-depth feedback on specific aspects of the PFM cycle—are complementary to each other and </w:t>
      </w:r>
      <w:r w:rsidR="005B5A70" w:rsidRPr="002659A3">
        <w:rPr>
          <w:sz w:val="22"/>
          <w:szCs w:val="22"/>
        </w:rPr>
        <w:t xml:space="preserve">the </w:t>
      </w:r>
      <w:r w:rsidR="00A10861" w:rsidRPr="002659A3">
        <w:rPr>
          <w:sz w:val="22"/>
          <w:szCs w:val="22"/>
        </w:rPr>
        <w:t>types of engagement need to be identified and sequenced based on the country context</w:t>
      </w:r>
      <w:r w:rsidRPr="002659A3">
        <w:rPr>
          <w:sz w:val="22"/>
          <w:szCs w:val="22"/>
        </w:rPr>
        <w:t>.</w:t>
      </w:r>
      <w:r w:rsidR="00D670D1" w:rsidRPr="002659A3">
        <w:rPr>
          <w:sz w:val="22"/>
          <w:szCs w:val="22"/>
        </w:rPr>
        <w:t xml:space="preserve"> </w:t>
      </w:r>
      <w:r w:rsidR="00E62FF8" w:rsidRPr="002659A3">
        <w:rPr>
          <w:sz w:val="22"/>
          <w:szCs w:val="22"/>
        </w:rPr>
        <w:t>Citizen satisfaction i</w:t>
      </w:r>
      <w:r w:rsidRPr="002659A3">
        <w:rPr>
          <w:sz w:val="22"/>
          <w:szCs w:val="22"/>
        </w:rPr>
        <w:t xml:space="preserve">ndicators can </w:t>
      </w:r>
      <w:r w:rsidR="00A10861" w:rsidRPr="002659A3">
        <w:rPr>
          <w:sz w:val="22"/>
          <w:szCs w:val="22"/>
        </w:rPr>
        <w:t>potentially measure outputs, outcomes, and impacts</w:t>
      </w:r>
      <w:r w:rsidR="00AC38EE" w:rsidRPr="002659A3">
        <w:rPr>
          <w:sz w:val="22"/>
          <w:szCs w:val="22"/>
        </w:rPr>
        <w:t xml:space="preserve"> </w:t>
      </w:r>
      <w:r w:rsidR="00B97FF8" w:rsidRPr="002659A3">
        <w:rPr>
          <w:sz w:val="22"/>
          <w:szCs w:val="22"/>
        </w:rPr>
        <w:t>of citizen engagement</w:t>
      </w:r>
      <w:r w:rsidR="00A10861" w:rsidRPr="002659A3">
        <w:rPr>
          <w:sz w:val="22"/>
          <w:szCs w:val="22"/>
        </w:rPr>
        <w:t xml:space="preserve">. </w:t>
      </w:r>
      <w:r w:rsidRPr="002659A3">
        <w:rPr>
          <w:i/>
          <w:sz w:val="22"/>
          <w:szCs w:val="22"/>
        </w:rPr>
        <w:t xml:space="preserve">Indicators of </w:t>
      </w:r>
      <w:r w:rsidR="00F15007" w:rsidRPr="002659A3">
        <w:rPr>
          <w:i/>
          <w:sz w:val="22"/>
          <w:szCs w:val="22"/>
        </w:rPr>
        <w:t>Citizen</w:t>
      </w:r>
      <w:r w:rsidRPr="002659A3">
        <w:rPr>
          <w:i/>
          <w:sz w:val="22"/>
          <w:szCs w:val="22"/>
        </w:rPr>
        <w:t>-Centric Public Service Delivery</w:t>
      </w:r>
      <w:r w:rsidR="00F15007" w:rsidRPr="002659A3">
        <w:rPr>
          <w:rStyle w:val="FootnoteReference"/>
          <w:sz w:val="22"/>
          <w:szCs w:val="22"/>
        </w:rPr>
        <w:footnoteReference w:id="5"/>
      </w:r>
      <w:r w:rsidR="00196BEA" w:rsidRPr="002659A3">
        <w:rPr>
          <w:sz w:val="22"/>
          <w:szCs w:val="22"/>
        </w:rPr>
        <w:t xml:space="preserve"> </w:t>
      </w:r>
      <w:r w:rsidR="00AC38EE" w:rsidRPr="002659A3">
        <w:rPr>
          <w:sz w:val="22"/>
          <w:szCs w:val="22"/>
        </w:rPr>
        <w:t xml:space="preserve">highlights an example approach to measure satisfaction both from government and service users’ perspectives. </w:t>
      </w:r>
      <w:r w:rsidR="00F573FD" w:rsidRPr="002659A3">
        <w:rPr>
          <w:sz w:val="22"/>
          <w:szCs w:val="22"/>
        </w:rPr>
        <w:t xml:space="preserve">The </w:t>
      </w:r>
      <w:r w:rsidR="00AC38EE" w:rsidRPr="002659A3">
        <w:rPr>
          <w:sz w:val="22"/>
          <w:szCs w:val="22"/>
        </w:rPr>
        <w:t xml:space="preserve">report </w:t>
      </w:r>
      <w:r w:rsidR="00F573FD" w:rsidRPr="002659A3">
        <w:rPr>
          <w:sz w:val="22"/>
          <w:szCs w:val="22"/>
        </w:rPr>
        <w:t xml:space="preserve">provides </w:t>
      </w:r>
      <w:r w:rsidR="00AC38EE" w:rsidRPr="002659A3">
        <w:rPr>
          <w:sz w:val="22"/>
          <w:szCs w:val="22"/>
        </w:rPr>
        <w:t xml:space="preserve">suggested </w:t>
      </w:r>
      <w:r w:rsidR="002F747F" w:rsidRPr="002659A3">
        <w:rPr>
          <w:sz w:val="22"/>
          <w:szCs w:val="22"/>
        </w:rPr>
        <w:t>categories of survey</w:t>
      </w:r>
      <w:r w:rsidR="00D670D1" w:rsidRPr="002659A3">
        <w:rPr>
          <w:sz w:val="22"/>
          <w:szCs w:val="22"/>
        </w:rPr>
        <w:t xml:space="preserve"> questions</w:t>
      </w:r>
      <w:r w:rsidR="00936EE3" w:rsidRPr="002659A3">
        <w:rPr>
          <w:sz w:val="22"/>
          <w:szCs w:val="22"/>
        </w:rPr>
        <w:t>,</w:t>
      </w:r>
      <w:r w:rsidR="002F747F" w:rsidRPr="002659A3">
        <w:rPr>
          <w:sz w:val="22"/>
          <w:szCs w:val="22"/>
        </w:rPr>
        <w:t xml:space="preserve"> ranging from </w:t>
      </w:r>
      <w:r w:rsidR="00D670D1" w:rsidRPr="002659A3">
        <w:rPr>
          <w:sz w:val="22"/>
          <w:szCs w:val="22"/>
        </w:rPr>
        <w:t>responsiveness</w:t>
      </w:r>
      <w:r w:rsidR="002F747F" w:rsidRPr="002659A3">
        <w:rPr>
          <w:sz w:val="22"/>
          <w:szCs w:val="22"/>
        </w:rPr>
        <w:t xml:space="preserve">, service quality, </w:t>
      </w:r>
      <w:r w:rsidR="00AD0A84" w:rsidRPr="002659A3">
        <w:rPr>
          <w:sz w:val="22"/>
          <w:szCs w:val="22"/>
        </w:rPr>
        <w:t xml:space="preserve">and </w:t>
      </w:r>
      <w:r w:rsidR="002F747F" w:rsidRPr="002659A3">
        <w:rPr>
          <w:sz w:val="22"/>
          <w:szCs w:val="22"/>
        </w:rPr>
        <w:t xml:space="preserve">integrity </w:t>
      </w:r>
      <w:r w:rsidR="002659A3" w:rsidRPr="002659A3">
        <w:rPr>
          <w:sz w:val="22"/>
          <w:szCs w:val="22"/>
        </w:rPr>
        <w:t>to capture</w:t>
      </w:r>
      <w:r w:rsidR="00936EE3" w:rsidRPr="002659A3">
        <w:rPr>
          <w:sz w:val="22"/>
          <w:szCs w:val="22"/>
        </w:rPr>
        <w:t xml:space="preserve"> different dimensions of satisfaction. </w:t>
      </w:r>
      <w:r w:rsidR="00D670D1" w:rsidRPr="002659A3">
        <w:rPr>
          <w:sz w:val="22"/>
          <w:szCs w:val="22"/>
        </w:rPr>
        <w:t>She</w:t>
      </w:r>
      <w:r w:rsidR="00936EE3" w:rsidRPr="002659A3">
        <w:rPr>
          <w:sz w:val="22"/>
          <w:szCs w:val="22"/>
        </w:rPr>
        <w:t xml:space="preserve"> concluded noting </w:t>
      </w:r>
      <w:r w:rsidR="00D670D1" w:rsidRPr="002659A3">
        <w:rPr>
          <w:sz w:val="22"/>
          <w:szCs w:val="22"/>
        </w:rPr>
        <w:t xml:space="preserve">that </w:t>
      </w:r>
      <w:r w:rsidR="00AC38EE" w:rsidRPr="002659A3">
        <w:rPr>
          <w:sz w:val="22"/>
          <w:szCs w:val="22"/>
        </w:rPr>
        <w:t>the effective PFM is</w:t>
      </w:r>
      <w:r w:rsidR="00D670D1" w:rsidRPr="002659A3">
        <w:rPr>
          <w:sz w:val="22"/>
          <w:szCs w:val="22"/>
        </w:rPr>
        <w:t xml:space="preserve"> </w:t>
      </w:r>
      <w:r w:rsidR="00AC38EE" w:rsidRPr="002659A3">
        <w:rPr>
          <w:sz w:val="22"/>
          <w:szCs w:val="22"/>
        </w:rPr>
        <w:t xml:space="preserve">a </w:t>
      </w:r>
      <w:r w:rsidR="00D670D1" w:rsidRPr="002659A3">
        <w:rPr>
          <w:sz w:val="22"/>
          <w:szCs w:val="22"/>
        </w:rPr>
        <w:t xml:space="preserve">backbone </w:t>
      </w:r>
      <w:r w:rsidR="008E3693" w:rsidRPr="002659A3">
        <w:rPr>
          <w:sz w:val="22"/>
          <w:szCs w:val="22"/>
        </w:rPr>
        <w:t>for</w:t>
      </w:r>
      <w:r w:rsidR="00D670D1" w:rsidRPr="002659A3">
        <w:rPr>
          <w:sz w:val="22"/>
          <w:szCs w:val="22"/>
        </w:rPr>
        <w:t xml:space="preserve"> </w:t>
      </w:r>
      <w:r w:rsidR="00AC38EE" w:rsidRPr="002659A3">
        <w:rPr>
          <w:sz w:val="22"/>
          <w:szCs w:val="22"/>
        </w:rPr>
        <w:t xml:space="preserve">citizen centric </w:t>
      </w:r>
      <w:r w:rsidR="00D670D1" w:rsidRPr="002659A3">
        <w:rPr>
          <w:sz w:val="22"/>
          <w:szCs w:val="22"/>
        </w:rPr>
        <w:t>service delivery</w:t>
      </w:r>
      <w:r w:rsidR="002F747F" w:rsidRPr="002659A3">
        <w:rPr>
          <w:sz w:val="22"/>
          <w:szCs w:val="22"/>
        </w:rPr>
        <w:t>.</w:t>
      </w:r>
      <w:r w:rsidR="001C22A2" w:rsidRPr="002659A3">
        <w:rPr>
          <w:sz w:val="22"/>
          <w:szCs w:val="22"/>
        </w:rPr>
        <w:t xml:space="preserve"> </w:t>
      </w:r>
      <w:r w:rsidR="00D670D1" w:rsidRPr="002659A3">
        <w:rPr>
          <w:sz w:val="22"/>
          <w:szCs w:val="22"/>
        </w:rPr>
        <w:t>T</w:t>
      </w:r>
      <w:r w:rsidR="00E17B6A" w:rsidRPr="002659A3">
        <w:rPr>
          <w:sz w:val="22"/>
          <w:szCs w:val="22"/>
        </w:rPr>
        <w:t xml:space="preserve">here </w:t>
      </w:r>
      <w:r w:rsidR="002659A3" w:rsidRPr="002659A3">
        <w:rPr>
          <w:sz w:val="22"/>
          <w:szCs w:val="22"/>
        </w:rPr>
        <w:t>are</w:t>
      </w:r>
      <w:r w:rsidR="00E17B6A" w:rsidRPr="002659A3">
        <w:rPr>
          <w:sz w:val="22"/>
          <w:szCs w:val="22"/>
        </w:rPr>
        <w:t xml:space="preserve"> a</w:t>
      </w:r>
      <w:r w:rsidR="00D670D1" w:rsidRPr="002659A3">
        <w:rPr>
          <w:sz w:val="22"/>
          <w:szCs w:val="22"/>
        </w:rPr>
        <w:t xml:space="preserve">lso </w:t>
      </w:r>
      <w:r w:rsidR="00AC38EE" w:rsidRPr="002659A3">
        <w:rPr>
          <w:sz w:val="22"/>
          <w:szCs w:val="22"/>
        </w:rPr>
        <w:t>roles that</w:t>
      </w:r>
      <w:r w:rsidR="00E17B6A" w:rsidRPr="002659A3">
        <w:rPr>
          <w:sz w:val="22"/>
          <w:szCs w:val="22"/>
        </w:rPr>
        <w:t xml:space="preserve"> </w:t>
      </w:r>
      <w:r w:rsidR="00196BEA" w:rsidRPr="002659A3">
        <w:rPr>
          <w:sz w:val="22"/>
          <w:szCs w:val="22"/>
        </w:rPr>
        <w:t>c</w:t>
      </w:r>
      <w:r w:rsidR="002251E8" w:rsidRPr="002659A3">
        <w:rPr>
          <w:sz w:val="22"/>
          <w:szCs w:val="22"/>
        </w:rPr>
        <w:t xml:space="preserve">ivil </w:t>
      </w:r>
      <w:r w:rsidR="00196BEA" w:rsidRPr="002659A3">
        <w:rPr>
          <w:sz w:val="22"/>
          <w:szCs w:val="22"/>
        </w:rPr>
        <w:t>s</w:t>
      </w:r>
      <w:r w:rsidR="002251E8" w:rsidRPr="002659A3">
        <w:rPr>
          <w:sz w:val="22"/>
          <w:szCs w:val="22"/>
        </w:rPr>
        <w:t xml:space="preserve">ociety </w:t>
      </w:r>
      <w:r w:rsidR="00196BEA" w:rsidRPr="002659A3">
        <w:rPr>
          <w:sz w:val="22"/>
          <w:szCs w:val="22"/>
        </w:rPr>
        <w:t>o</w:t>
      </w:r>
      <w:r w:rsidR="002251E8" w:rsidRPr="002659A3">
        <w:rPr>
          <w:sz w:val="22"/>
          <w:szCs w:val="22"/>
        </w:rPr>
        <w:t>rganization</w:t>
      </w:r>
      <w:r w:rsidR="00E17B6A" w:rsidRPr="002659A3">
        <w:rPr>
          <w:sz w:val="22"/>
          <w:szCs w:val="22"/>
        </w:rPr>
        <w:t>s</w:t>
      </w:r>
      <w:r w:rsidR="00936EE3" w:rsidRPr="002659A3">
        <w:rPr>
          <w:sz w:val="22"/>
          <w:szCs w:val="22"/>
        </w:rPr>
        <w:t xml:space="preserve"> </w:t>
      </w:r>
      <w:r w:rsidR="00AC38EE" w:rsidRPr="002659A3">
        <w:rPr>
          <w:sz w:val="22"/>
          <w:szCs w:val="22"/>
        </w:rPr>
        <w:t>can play</w:t>
      </w:r>
      <w:r w:rsidR="008E3693" w:rsidRPr="002659A3">
        <w:rPr>
          <w:sz w:val="22"/>
          <w:szCs w:val="22"/>
        </w:rPr>
        <w:t xml:space="preserve"> in citizen engagement in the PFM cycle</w:t>
      </w:r>
      <w:r w:rsidR="00AC38EE" w:rsidRPr="002659A3">
        <w:rPr>
          <w:sz w:val="22"/>
          <w:szCs w:val="22"/>
        </w:rPr>
        <w:t xml:space="preserve"> </w:t>
      </w:r>
      <w:r w:rsidR="00936EE3" w:rsidRPr="002659A3">
        <w:rPr>
          <w:sz w:val="22"/>
          <w:szCs w:val="22"/>
        </w:rPr>
        <w:t>and</w:t>
      </w:r>
      <w:r w:rsidR="00F22221" w:rsidRPr="002659A3">
        <w:rPr>
          <w:sz w:val="22"/>
          <w:szCs w:val="22"/>
        </w:rPr>
        <w:t xml:space="preserve"> different diagnostic tools </w:t>
      </w:r>
      <w:r w:rsidR="00936EE3" w:rsidRPr="002659A3">
        <w:rPr>
          <w:sz w:val="22"/>
          <w:szCs w:val="22"/>
        </w:rPr>
        <w:t xml:space="preserve">are </w:t>
      </w:r>
      <w:r w:rsidR="00D670D1" w:rsidRPr="002659A3">
        <w:rPr>
          <w:sz w:val="22"/>
          <w:szCs w:val="22"/>
        </w:rPr>
        <w:t xml:space="preserve">available </w:t>
      </w:r>
      <w:r w:rsidR="00644F06" w:rsidRPr="002659A3">
        <w:rPr>
          <w:sz w:val="22"/>
          <w:szCs w:val="22"/>
        </w:rPr>
        <w:t xml:space="preserve">to </w:t>
      </w:r>
      <w:r w:rsidR="00AC38EE" w:rsidRPr="002659A3">
        <w:rPr>
          <w:sz w:val="22"/>
          <w:szCs w:val="22"/>
        </w:rPr>
        <w:t xml:space="preserve">facilitate such </w:t>
      </w:r>
      <w:r w:rsidR="008E3693" w:rsidRPr="002659A3">
        <w:rPr>
          <w:sz w:val="22"/>
          <w:szCs w:val="22"/>
        </w:rPr>
        <w:t>process</w:t>
      </w:r>
      <w:r w:rsidR="00F22221" w:rsidRPr="002659A3">
        <w:rPr>
          <w:sz w:val="22"/>
          <w:szCs w:val="22"/>
        </w:rPr>
        <w:t>.</w:t>
      </w:r>
    </w:p>
    <w:p w14:paraId="3BA01EE9" w14:textId="016D3FA8" w:rsidR="004F5929" w:rsidRPr="002659A3" w:rsidRDefault="004F5929" w:rsidP="004F5929">
      <w:pPr>
        <w:pStyle w:val="Heading1"/>
        <w:spacing w:before="0" w:afterLines="80" w:after="192" w:line="240" w:lineRule="auto"/>
        <w:rPr>
          <w:rFonts w:ascii="Times New Roman" w:hAnsi="Times New Roman" w:cs="Times New Roman"/>
          <w:b/>
          <w:bCs/>
          <w:color w:val="538135" w:themeColor="accent6" w:themeShade="BF"/>
          <w:sz w:val="22"/>
          <w:szCs w:val="22"/>
        </w:rPr>
      </w:pPr>
      <w:bookmarkStart w:id="8" w:name="_Toc24897631"/>
      <w:r w:rsidRPr="002659A3">
        <w:rPr>
          <w:rFonts w:ascii="Times New Roman" w:hAnsi="Times New Roman" w:cs="Times New Roman"/>
          <w:b/>
          <w:bCs/>
          <w:color w:val="538135" w:themeColor="accent6" w:themeShade="BF"/>
          <w:sz w:val="22"/>
          <w:szCs w:val="22"/>
        </w:rPr>
        <w:t>What are Practices</w:t>
      </w:r>
      <w:r w:rsidR="008F7B6E" w:rsidRPr="002659A3">
        <w:rPr>
          <w:rFonts w:ascii="Times New Roman" w:hAnsi="Times New Roman" w:cs="Times New Roman"/>
          <w:b/>
          <w:bCs/>
          <w:color w:val="538135" w:themeColor="accent6" w:themeShade="BF"/>
          <w:sz w:val="22"/>
          <w:szCs w:val="22"/>
        </w:rPr>
        <w:t xml:space="preserve"> </w:t>
      </w:r>
      <w:r w:rsidRPr="002659A3">
        <w:rPr>
          <w:rFonts w:ascii="Times New Roman" w:hAnsi="Times New Roman" w:cs="Times New Roman"/>
          <w:b/>
          <w:bCs/>
          <w:color w:val="538135" w:themeColor="accent6" w:themeShade="BF"/>
          <w:sz w:val="22"/>
          <w:szCs w:val="22"/>
        </w:rPr>
        <w:t>and Trends in Capturing Citizens’ Satisfaction and Perceptions in OECD Countries?</w:t>
      </w:r>
      <w:bookmarkEnd w:id="8"/>
    </w:p>
    <w:p w14:paraId="4B081065" w14:textId="3BD6EEC6" w:rsidR="002E5B3E" w:rsidRPr="002659A3" w:rsidRDefault="00F22221" w:rsidP="00EF53AE">
      <w:pPr>
        <w:spacing w:afterLines="80" w:after="192"/>
        <w:jc w:val="both"/>
        <w:rPr>
          <w:sz w:val="22"/>
          <w:szCs w:val="22"/>
        </w:rPr>
      </w:pPr>
      <w:r w:rsidRPr="002659A3">
        <w:rPr>
          <w:b/>
          <w:sz w:val="22"/>
          <w:szCs w:val="22"/>
        </w:rPr>
        <w:t>Axel Mathot,</w:t>
      </w:r>
      <w:r w:rsidR="00661178" w:rsidRPr="002659A3">
        <w:rPr>
          <w:b/>
          <w:sz w:val="22"/>
          <w:szCs w:val="22"/>
        </w:rPr>
        <w:t xml:space="preserve"> </w:t>
      </w:r>
      <w:r w:rsidRPr="002659A3">
        <w:rPr>
          <w:b/>
          <w:sz w:val="22"/>
          <w:szCs w:val="22"/>
        </w:rPr>
        <w:t>Senior Policy Adviser, Budgeting and Public Expenditure Divis</w:t>
      </w:r>
      <w:r w:rsidR="00196BEA" w:rsidRPr="002659A3">
        <w:rPr>
          <w:b/>
          <w:sz w:val="22"/>
          <w:szCs w:val="22"/>
        </w:rPr>
        <w:t>i</w:t>
      </w:r>
      <w:r w:rsidRPr="002659A3">
        <w:rPr>
          <w:b/>
          <w:sz w:val="22"/>
          <w:szCs w:val="22"/>
        </w:rPr>
        <w:t>on of OECD</w:t>
      </w:r>
      <w:r w:rsidR="004F5929" w:rsidRPr="002659A3">
        <w:rPr>
          <w:b/>
          <w:sz w:val="22"/>
          <w:szCs w:val="22"/>
        </w:rPr>
        <w:t>,</w:t>
      </w:r>
      <w:r w:rsidRPr="002659A3">
        <w:rPr>
          <w:b/>
          <w:sz w:val="22"/>
          <w:szCs w:val="22"/>
        </w:rPr>
        <w:t xml:space="preserve"> </w:t>
      </w:r>
      <w:r w:rsidR="00DD0492" w:rsidRPr="002659A3">
        <w:rPr>
          <w:b/>
          <w:sz w:val="22"/>
          <w:szCs w:val="22"/>
        </w:rPr>
        <w:t xml:space="preserve">focused </w:t>
      </w:r>
      <w:r w:rsidRPr="002659A3">
        <w:rPr>
          <w:b/>
          <w:sz w:val="22"/>
          <w:szCs w:val="22"/>
        </w:rPr>
        <w:t xml:space="preserve">on </w:t>
      </w:r>
      <w:r w:rsidR="00CA752A" w:rsidRPr="002659A3">
        <w:rPr>
          <w:b/>
          <w:sz w:val="22"/>
          <w:szCs w:val="22"/>
        </w:rPr>
        <w:t xml:space="preserve">interaction with citizens with the aim </w:t>
      </w:r>
      <w:r w:rsidR="00D303DC" w:rsidRPr="002659A3">
        <w:rPr>
          <w:b/>
          <w:sz w:val="22"/>
          <w:szCs w:val="22"/>
        </w:rPr>
        <w:t xml:space="preserve">at </w:t>
      </w:r>
      <w:r w:rsidR="00DD0492" w:rsidRPr="002659A3">
        <w:rPr>
          <w:b/>
          <w:sz w:val="22"/>
          <w:szCs w:val="22"/>
        </w:rPr>
        <w:t xml:space="preserve">ensuring </w:t>
      </w:r>
      <w:r w:rsidRPr="002659A3">
        <w:rPr>
          <w:b/>
          <w:sz w:val="22"/>
          <w:szCs w:val="22"/>
        </w:rPr>
        <w:t xml:space="preserve">the quality </w:t>
      </w:r>
      <w:r w:rsidR="00CA752A" w:rsidRPr="002659A3">
        <w:rPr>
          <w:b/>
          <w:sz w:val="22"/>
          <w:szCs w:val="22"/>
        </w:rPr>
        <w:t xml:space="preserve">and effectiveness </w:t>
      </w:r>
      <w:r w:rsidRPr="002659A3">
        <w:rPr>
          <w:b/>
          <w:sz w:val="22"/>
          <w:szCs w:val="22"/>
        </w:rPr>
        <w:t xml:space="preserve">of policies </w:t>
      </w:r>
      <w:r w:rsidR="00CA752A" w:rsidRPr="002659A3">
        <w:rPr>
          <w:b/>
          <w:sz w:val="22"/>
          <w:szCs w:val="22"/>
        </w:rPr>
        <w:t xml:space="preserve">and </w:t>
      </w:r>
      <w:r w:rsidR="001E1147" w:rsidRPr="002659A3">
        <w:rPr>
          <w:b/>
          <w:sz w:val="22"/>
          <w:szCs w:val="22"/>
        </w:rPr>
        <w:t>from</w:t>
      </w:r>
      <w:r w:rsidR="00CA752A" w:rsidRPr="002659A3">
        <w:rPr>
          <w:b/>
          <w:sz w:val="22"/>
          <w:szCs w:val="22"/>
        </w:rPr>
        <w:t xml:space="preserve"> the Ministry of Finance/</w:t>
      </w:r>
      <w:r w:rsidR="001E1147" w:rsidRPr="002659A3">
        <w:rPr>
          <w:b/>
          <w:sz w:val="22"/>
          <w:szCs w:val="22"/>
        </w:rPr>
        <w:t>Central Budget Agency</w:t>
      </w:r>
      <w:r w:rsidR="00CA752A" w:rsidRPr="002659A3">
        <w:rPr>
          <w:b/>
          <w:sz w:val="22"/>
          <w:szCs w:val="22"/>
        </w:rPr>
        <w:t xml:space="preserve"> </w:t>
      </w:r>
      <w:r w:rsidR="00DD0492" w:rsidRPr="002659A3">
        <w:rPr>
          <w:b/>
          <w:sz w:val="22"/>
          <w:szCs w:val="22"/>
        </w:rPr>
        <w:t>perspective</w:t>
      </w:r>
      <w:r w:rsidR="00F573FD" w:rsidRPr="002659A3">
        <w:rPr>
          <w:sz w:val="22"/>
          <w:szCs w:val="22"/>
        </w:rPr>
        <w:t>. He noted that</w:t>
      </w:r>
      <w:r w:rsidR="001E1147" w:rsidRPr="002659A3">
        <w:rPr>
          <w:sz w:val="22"/>
          <w:szCs w:val="22"/>
        </w:rPr>
        <w:t xml:space="preserve"> </w:t>
      </w:r>
      <w:r w:rsidR="00CA752A" w:rsidRPr="002659A3">
        <w:rPr>
          <w:sz w:val="22"/>
          <w:szCs w:val="22"/>
        </w:rPr>
        <w:t xml:space="preserve">interaction with citizens is </w:t>
      </w:r>
      <w:r w:rsidR="00CA752A" w:rsidRPr="002659A3">
        <w:rPr>
          <w:sz w:val="22"/>
          <w:szCs w:val="22"/>
        </w:rPr>
        <w:lastRenderedPageBreak/>
        <w:t xml:space="preserve">relevant from the </w:t>
      </w:r>
      <w:r w:rsidR="008D34A5" w:rsidRPr="002659A3">
        <w:rPr>
          <w:sz w:val="22"/>
          <w:szCs w:val="22"/>
        </w:rPr>
        <w:t>perceptive</w:t>
      </w:r>
      <w:r w:rsidR="00CA752A" w:rsidRPr="002659A3">
        <w:rPr>
          <w:sz w:val="22"/>
          <w:szCs w:val="22"/>
        </w:rPr>
        <w:t xml:space="preserve"> of all main purpose of budgeting: sustainability of public finances, sustaining/improving economic growth and wellbeing, and allocation of resources in line with strategic priority. </w:t>
      </w:r>
      <w:r w:rsidR="008D34A5" w:rsidRPr="002659A3">
        <w:rPr>
          <w:sz w:val="22"/>
          <w:szCs w:val="22"/>
        </w:rPr>
        <w:t>Different ways to interact with citizens include participatory budgeting</w:t>
      </w:r>
      <w:r w:rsidR="00381CFA" w:rsidRPr="002659A3">
        <w:rPr>
          <w:rStyle w:val="FootnoteReference"/>
          <w:sz w:val="22"/>
          <w:szCs w:val="22"/>
        </w:rPr>
        <w:footnoteReference w:id="6"/>
      </w:r>
      <w:r w:rsidR="008D34A5" w:rsidRPr="002659A3">
        <w:rPr>
          <w:sz w:val="22"/>
          <w:szCs w:val="22"/>
        </w:rPr>
        <w:t>, using consultations in general or specifically for performance indicators via surveys, and gathering data indirectly through “big data”.</w:t>
      </w:r>
      <w:r w:rsidR="00381CFA" w:rsidRPr="002659A3">
        <w:rPr>
          <w:sz w:val="22"/>
          <w:szCs w:val="22"/>
        </w:rPr>
        <w:t xml:space="preserve"> </w:t>
      </w:r>
      <w:r w:rsidR="00691496" w:rsidRPr="002659A3">
        <w:rPr>
          <w:sz w:val="22"/>
          <w:szCs w:val="22"/>
        </w:rPr>
        <w:t>In terms of gathering citizens’ feedback through surveys, they are useful fo</w:t>
      </w:r>
      <w:r w:rsidR="00DD7384" w:rsidRPr="002659A3">
        <w:rPr>
          <w:sz w:val="22"/>
          <w:szCs w:val="22"/>
        </w:rPr>
        <w:t xml:space="preserve">r </w:t>
      </w:r>
      <w:r w:rsidR="00691496" w:rsidRPr="002659A3">
        <w:rPr>
          <w:sz w:val="22"/>
          <w:szCs w:val="22"/>
        </w:rPr>
        <w:t>performance indicators used in budgeting and can also provide useful information to</w:t>
      </w:r>
      <w:r w:rsidR="00D303DC" w:rsidRPr="002659A3">
        <w:rPr>
          <w:sz w:val="22"/>
          <w:szCs w:val="22"/>
        </w:rPr>
        <w:t xml:space="preserve"> a</w:t>
      </w:r>
      <w:r w:rsidR="00691496" w:rsidRPr="002659A3">
        <w:rPr>
          <w:sz w:val="22"/>
          <w:szCs w:val="22"/>
        </w:rPr>
        <w:t xml:space="preserve"> Ministry of Finance on the quality of work of the Line Ministries. Mr. Mathot</w:t>
      </w:r>
      <w:r w:rsidR="002D2D4F" w:rsidRPr="002659A3">
        <w:rPr>
          <w:sz w:val="22"/>
          <w:szCs w:val="22"/>
        </w:rPr>
        <w:t xml:space="preserve"> described the different </w:t>
      </w:r>
      <w:r w:rsidR="00C20B0E" w:rsidRPr="002659A3">
        <w:rPr>
          <w:sz w:val="22"/>
          <w:szCs w:val="22"/>
        </w:rPr>
        <w:t>instruments</w:t>
      </w:r>
      <w:r w:rsidR="00691496" w:rsidRPr="002659A3">
        <w:rPr>
          <w:sz w:val="22"/>
          <w:szCs w:val="22"/>
        </w:rPr>
        <w:t>, including</w:t>
      </w:r>
      <w:r w:rsidR="00C20B0E" w:rsidRPr="002659A3">
        <w:rPr>
          <w:sz w:val="22"/>
          <w:szCs w:val="22"/>
        </w:rPr>
        <w:t xml:space="preserve"> international surveys</w:t>
      </w:r>
      <w:r w:rsidR="00381CFA" w:rsidRPr="002659A3">
        <w:rPr>
          <w:sz w:val="22"/>
          <w:szCs w:val="22"/>
        </w:rPr>
        <w:t xml:space="preserve">, </w:t>
      </w:r>
      <w:r w:rsidR="00C20B0E" w:rsidRPr="002659A3">
        <w:rPr>
          <w:sz w:val="22"/>
          <w:szCs w:val="22"/>
        </w:rPr>
        <w:t xml:space="preserve">existing national surveys, </w:t>
      </w:r>
      <w:r w:rsidR="002D2D4F" w:rsidRPr="002659A3">
        <w:rPr>
          <w:sz w:val="22"/>
          <w:szCs w:val="22"/>
        </w:rPr>
        <w:t xml:space="preserve">and </w:t>
      </w:r>
      <w:r w:rsidR="00C20B0E" w:rsidRPr="002659A3">
        <w:rPr>
          <w:sz w:val="22"/>
          <w:szCs w:val="22"/>
        </w:rPr>
        <w:t>specific</w:t>
      </w:r>
      <w:r w:rsidR="002D2D4F" w:rsidRPr="002659A3">
        <w:rPr>
          <w:sz w:val="22"/>
          <w:szCs w:val="22"/>
        </w:rPr>
        <w:t xml:space="preserve"> targeted</w:t>
      </w:r>
      <w:r w:rsidR="00C20B0E" w:rsidRPr="002659A3">
        <w:rPr>
          <w:sz w:val="22"/>
          <w:szCs w:val="22"/>
        </w:rPr>
        <w:t xml:space="preserve"> questionnaire</w:t>
      </w:r>
      <w:r w:rsidR="002D2D4F" w:rsidRPr="002659A3">
        <w:rPr>
          <w:sz w:val="22"/>
          <w:szCs w:val="22"/>
        </w:rPr>
        <w:t>s</w:t>
      </w:r>
      <w:r w:rsidR="00C20B0E" w:rsidRPr="002659A3">
        <w:rPr>
          <w:sz w:val="22"/>
          <w:szCs w:val="22"/>
        </w:rPr>
        <w:t xml:space="preserve">. </w:t>
      </w:r>
      <w:r w:rsidR="00691496" w:rsidRPr="002659A3">
        <w:rPr>
          <w:sz w:val="22"/>
          <w:szCs w:val="22"/>
        </w:rPr>
        <w:t>While international survey</w:t>
      </w:r>
      <w:r w:rsidR="00DD7384" w:rsidRPr="002659A3">
        <w:rPr>
          <w:sz w:val="22"/>
          <w:szCs w:val="22"/>
        </w:rPr>
        <w:t>s</w:t>
      </w:r>
      <w:r w:rsidR="00691496" w:rsidRPr="002659A3">
        <w:rPr>
          <w:sz w:val="22"/>
          <w:szCs w:val="22"/>
        </w:rPr>
        <w:t xml:space="preserve"> are conducive for benchmarking, care should be taken to conduct comparisons with comparable countries only and moreover, </w:t>
      </w:r>
      <w:r w:rsidR="00381CFA" w:rsidRPr="002659A3">
        <w:rPr>
          <w:sz w:val="22"/>
          <w:szCs w:val="22"/>
        </w:rPr>
        <w:t>they</w:t>
      </w:r>
      <w:r w:rsidR="002E5B3E" w:rsidRPr="002659A3">
        <w:rPr>
          <w:sz w:val="22"/>
          <w:szCs w:val="22"/>
        </w:rPr>
        <w:t xml:space="preserve"> are usually broad rather than focused on specific country, with the small sample without possibility to distinguish among different target groups and between service users and non-users. Existing national surveys are more focused with a larger sample, while specific questionnaires developed specifically for these purposes offer the best option for very focused data collection. The specific surveys are most costly however digitalization offers efficient possibilities, such as short SMS surveys. Gathering citizens’ feedback through surveys for performance indicators is mostly conducted by the line Ministries in OECD countries. Important considerations should be given to capacity building in both Ministries </w:t>
      </w:r>
      <w:r w:rsidR="00805EA1" w:rsidRPr="002659A3">
        <w:rPr>
          <w:sz w:val="22"/>
          <w:szCs w:val="22"/>
        </w:rPr>
        <w:t xml:space="preserve">of </w:t>
      </w:r>
      <w:r w:rsidR="002E5B3E" w:rsidRPr="002659A3">
        <w:rPr>
          <w:sz w:val="22"/>
          <w:szCs w:val="22"/>
        </w:rPr>
        <w:t xml:space="preserve">Finance and line Ministries in survey design, methodology, and analyses, as well as to natural differences between objective and subjective information, given that objective service quality improvements do not necessarily translate into equal improvement in citizens’ satisfaction, </w:t>
      </w:r>
      <w:r w:rsidR="0090617E" w:rsidRPr="002659A3">
        <w:rPr>
          <w:sz w:val="22"/>
          <w:szCs w:val="22"/>
        </w:rPr>
        <w:t xml:space="preserve">thus </w:t>
      </w:r>
      <w:r w:rsidR="002E5B3E" w:rsidRPr="002659A3">
        <w:rPr>
          <w:sz w:val="22"/>
          <w:szCs w:val="22"/>
        </w:rPr>
        <w:t>information from multiple sources should be used for complementarity.</w:t>
      </w:r>
    </w:p>
    <w:p w14:paraId="2B0A5975" w14:textId="620AFDF3" w:rsidR="00D73A88" w:rsidRPr="002659A3" w:rsidRDefault="00A24EBB" w:rsidP="00EF53AE">
      <w:pPr>
        <w:spacing w:afterLines="80" w:after="192"/>
        <w:jc w:val="both"/>
        <w:rPr>
          <w:sz w:val="22"/>
          <w:szCs w:val="22"/>
        </w:rPr>
      </w:pPr>
      <w:r w:rsidRPr="002659A3">
        <w:rPr>
          <w:i/>
          <w:sz w:val="22"/>
          <w:szCs w:val="22"/>
        </w:rPr>
        <w:t xml:space="preserve">OECD </w:t>
      </w:r>
      <w:r w:rsidR="0062413A" w:rsidRPr="002659A3">
        <w:rPr>
          <w:i/>
          <w:sz w:val="22"/>
          <w:szCs w:val="22"/>
        </w:rPr>
        <w:t xml:space="preserve">Serving </w:t>
      </w:r>
      <w:r w:rsidRPr="002659A3">
        <w:rPr>
          <w:i/>
          <w:sz w:val="22"/>
          <w:szCs w:val="22"/>
        </w:rPr>
        <w:t>Citizens</w:t>
      </w:r>
      <w:r w:rsidR="0062413A" w:rsidRPr="002659A3">
        <w:rPr>
          <w:i/>
          <w:sz w:val="22"/>
          <w:szCs w:val="22"/>
        </w:rPr>
        <w:t xml:space="preserve"> F</w:t>
      </w:r>
      <w:r w:rsidRPr="002659A3">
        <w:rPr>
          <w:i/>
          <w:sz w:val="22"/>
          <w:szCs w:val="22"/>
        </w:rPr>
        <w:t>ramework</w:t>
      </w:r>
      <w:r w:rsidR="00DD7384" w:rsidRPr="002659A3">
        <w:rPr>
          <w:rStyle w:val="FootnoteReference"/>
          <w:i/>
          <w:sz w:val="22"/>
          <w:szCs w:val="22"/>
        </w:rPr>
        <w:footnoteReference w:id="7"/>
      </w:r>
      <w:r w:rsidRPr="002659A3">
        <w:rPr>
          <w:sz w:val="22"/>
          <w:szCs w:val="22"/>
        </w:rPr>
        <w:t xml:space="preserve"> has three pillars: </w:t>
      </w:r>
      <w:r w:rsidR="00DD7384" w:rsidRPr="002659A3">
        <w:rPr>
          <w:sz w:val="22"/>
          <w:szCs w:val="22"/>
        </w:rPr>
        <w:t>a</w:t>
      </w:r>
      <w:r w:rsidRPr="002659A3">
        <w:rPr>
          <w:sz w:val="22"/>
          <w:szCs w:val="22"/>
        </w:rPr>
        <w:t>ccess</w:t>
      </w:r>
      <w:r w:rsidR="002F02A2" w:rsidRPr="002659A3">
        <w:rPr>
          <w:sz w:val="22"/>
          <w:szCs w:val="22"/>
        </w:rPr>
        <w:t xml:space="preserve"> (affor</w:t>
      </w:r>
      <w:r w:rsidR="00F573FD" w:rsidRPr="002659A3">
        <w:rPr>
          <w:sz w:val="22"/>
          <w:szCs w:val="22"/>
        </w:rPr>
        <w:t>dability, geographic proximity,</w:t>
      </w:r>
      <w:r w:rsidR="00085CE8" w:rsidRPr="002659A3">
        <w:rPr>
          <w:sz w:val="22"/>
          <w:szCs w:val="22"/>
        </w:rPr>
        <w:t xml:space="preserve"> accessibility of information)</w:t>
      </w:r>
      <w:r w:rsidRPr="002659A3">
        <w:rPr>
          <w:sz w:val="22"/>
          <w:szCs w:val="22"/>
        </w:rPr>
        <w:t xml:space="preserve">, </w:t>
      </w:r>
      <w:r w:rsidR="00DD7384" w:rsidRPr="002659A3">
        <w:rPr>
          <w:sz w:val="22"/>
          <w:szCs w:val="22"/>
        </w:rPr>
        <w:t>r</w:t>
      </w:r>
      <w:r w:rsidRPr="002659A3">
        <w:rPr>
          <w:sz w:val="22"/>
          <w:szCs w:val="22"/>
        </w:rPr>
        <w:t xml:space="preserve">esponsiveness </w:t>
      </w:r>
      <w:r w:rsidR="00BD4BF1" w:rsidRPr="002659A3">
        <w:rPr>
          <w:sz w:val="22"/>
          <w:szCs w:val="22"/>
        </w:rPr>
        <w:t>(</w:t>
      </w:r>
      <w:r w:rsidR="002F02A2" w:rsidRPr="002659A3">
        <w:rPr>
          <w:sz w:val="22"/>
          <w:szCs w:val="22"/>
        </w:rPr>
        <w:t>ci</w:t>
      </w:r>
      <w:r w:rsidR="00BD4BF1" w:rsidRPr="002659A3">
        <w:rPr>
          <w:sz w:val="22"/>
          <w:szCs w:val="22"/>
        </w:rPr>
        <w:t>ti</w:t>
      </w:r>
      <w:r w:rsidR="002F02A2" w:rsidRPr="002659A3">
        <w:rPr>
          <w:sz w:val="22"/>
          <w:szCs w:val="22"/>
        </w:rPr>
        <w:t xml:space="preserve">zen </w:t>
      </w:r>
      <w:r w:rsidR="006C2E04" w:rsidRPr="002659A3">
        <w:rPr>
          <w:sz w:val="22"/>
          <w:szCs w:val="22"/>
        </w:rPr>
        <w:t>centered</w:t>
      </w:r>
      <w:r w:rsidR="002F02A2" w:rsidRPr="002659A3">
        <w:rPr>
          <w:sz w:val="22"/>
          <w:szCs w:val="22"/>
        </w:rPr>
        <w:t xml:space="preserve"> approach, timeliness, match services to special needs) </w:t>
      </w:r>
      <w:r w:rsidRPr="002659A3">
        <w:rPr>
          <w:sz w:val="22"/>
          <w:szCs w:val="22"/>
        </w:rPr>
        <w:t xml:space="preserve">and </w:t>
      </w:r>
      <w:r w:rsidR="00DD7384" w:rsidRPr="002659A3">
        <w:rPr>
          <w:sz w:val="22"/>
          <w:szCs w:val="22"/>
        </w:rPr>
        <w:t>q</w:t>
      </w:r>
      <w:r w:rsidRPr="002659A3">
        <w:rPr>
          <w:sz w:val="22"/>
          <w:szCs w:val="22"/>
        </w:rPr>
        <w:t>uality</w:t>
      </w:r>
      <w:r w:rsidR="002F02A2" w:rsidRPr="002659A3">
        <w:rPr>
          <w:sz w:val="22"/>
          <w:szCs w:val="22"/>
        </w:rPr>
        <w:t xml:space="preserve"> (effective delivery of services and outcomes, consistency of </w:t>
      </w:r>
      <w:r w:rsidR="00EB5B91" w:rsidRPr="002659A3">
        <w:rPr>
          <w:sz w:val="22"/>
          <w:szCs w:val="22"/>
        </w:rPr>
        <w:t>service delivery and security (safety)</w:t>
      </w:r>
      <w:r w:rsidRPr="002659A3">
        <w:rPr>
          <w:sz w:val="22"/>
          <w:szCs w:val="22"/>
        </w:rPr>
        <w:t>.</w:t>
      </w:r>
      <w:r w:rsidR="00A115A8" w:rsidRPr="002659A3">
        <w:rPr>
          <w:sz w:val="22"/>
          <w:szCs w:val="22"/>
        </w:rPr>
        <w:t xml:space="preserve"> </w:t>
      </w:r>
      <w:r w:rsidR="00BD4BF1" w:rsidRPr="002659A3">
        <w:rPr>
          <w:sz w:val="22"/>
          <w:szCs w:val="22"/>
        </w:rPr>
        <w:t>To illustrate</w:t>
      </w:r>
      <w:r w:rsidR="006C2E04" w:rsidRPr="002659A3">
        <w:rPr>
          <w:sz w:val="22"/>
          <w:szCs w:val="22"/>
        </w:rPr>
        <w:t>,</w:t>
      </w:r>
      <w:r w:rsidR="00BD4BF1" w:rsidRPr="002659A3">
        <w:rPr>
          <w:sz w:val="22"/>
          <w:szCs w:val="22"/>
        </w:rPr>
        <w:t xml:space="preserve"> country examples from Estonia, France, and Mexico were presented. </w:t>
      </w:r>
      <w:r w:rsidR="00A134BC" w:rsidRPr="002659A3">
        <w:rPr>
          <w:sz w:val="22"/>
          <w:szCs w:val="22"/>
        </w:rPr>
        <w:t>Mr</w:t>
      </w:r>
      <w:r w:rsidR="00DD7384" w:rsidRPr="002659A3">
        <w:rPr>
          <w:sz w:val="22"/>
          <w:szCs w:val="22"/>
        </w:rPr>
        <w:t>.</w:t>
      </w:r>
      <w:r w:rsidR="00A134BC" w:rsidRPr="002659A3">
        <w:rPr>
          <w:sz w:val="22"/>
          <w:szCs w:val="22"/>
        </w:rPr>
        <w:t xml:space="preserve"> Mathot </w:t>
      </w:r>
      <w:r w:rsidR="00D73A88" w:rsidRPr="002659A3">
        <w:rPr>
          <w:sz w:val="22"/>
          <w:szCs w:val="22"/>
        </w:rPr>
        <w:t>also</w:t>
      </w:r>
      <w:r w:rsidR="00DD7384" w:rsidRPr="002659A3">
        <w:rPr>
          <w:sz w:val="22"/>
          <w:szCs w:val="22"/>
        </w:rPr>
        <w:t xml:space="preserve"> discussed the</w:t>
      </w:r>
      <w:r w:rsidR="00A134BC" w:rsidRPr="002659A3">
        <w:rPr>
          <w:sz w:val="22"/>
          <w:szCs w:val="22"/>
        </w:rPr>
        <w:t xml:space="preserve"> global trend towards </w:t>
      </w:r>
      <w:r w:rsidR="00D73A88" w:rsidRPr="002659A3">
        <w:rPr>
          <w:sz w:val="22"/>
          <w:szCs w:val="22"/>
        </w:rPr>
        <w:t>well</w:t>
      </w:r>
      <w:r w:rsidR="00DD7384" w:rsidRPr="002659A3">
        <w:rPr>
          <w:sz w:val="22"/>
          <w:szCs w:val="22"/>
        </w:rPr>
        <w:t>-</w:t>
      </w:r>
      <w:r w:rsidR="00D73A88" w:rsidRPr="002659A3">
        <w:rPr>
          <w:sz w:val="22"/>
          <w:szCs w:val="22"/>
        </w:rPr>
        <w:t>being budget</w:t>
      </w:r>
      <w:r w:rsidR="00A134BC" w:rsidRPr="002659A3">
        <w:rPr>
          <w:sz w:val="22"/>
          <w:szCs w:val="22"/>
        </w:rPr>
        <w:t>s, which focus</w:t>
      </w:r>
      <w:r w:rsidR="00D73A88" w:rsidRPr="002659A3">
        <w:rPr>
          <w:sz w:val="22"/>
          <w:szCs w:val="22"/>
        </w:rPr>
        <w:t xml:space="preserve"> more on</w:t>
      </w:r>
      <w:r w:rsidR="00A134BC" w:rsidRPr="002659A3">
        <w:rPr>
          <w:sz w:val="22"/>
          <w:szCs w:val="22"/>
        </w:rPr>
        <w:t xml:space="preserve"> the</w:t>
      </w:r>
      <w:r w:rsidR="00D73A88" w:rsidRPr="002659A3">
        <w:rPr>
          <w:sz w:val="22"/>
          <w:szCs w:val="22"/>
        </w:rPr>
        <w:t xml:space="preserve"> S</w:t>
      </w:r>
      <w:r w:rsidR="00A134BC" w:rsidRPr="002659A3">
        <w:rPr>
          <w:sz w:val="22"/>
          <w:szCs w:val="22"/>
        </w:rPr>
        <w:t xml:space="preserve">ustainable </w:t>
      </w:r>
      <w:r w:rsidR="00D73A88" w:rsidRPr="002659A3">
        <w:rPr>
          <w:sz w:val="22"/>
          <w:szCs w:val="22"/>
        </w:rPr>
        <w:t>D</w:t>
      </w:r>
      <w:r w:rsidR="00A134BC" w:rsidRPr="002659A3">
        <w:rPr>
          <w:sz w:val="22"/>
          <w:szCs w:val="22"/>
        </w:rPr>
        <w:t xml:space="preserve">evelopment </w:t>
      </w:r>
      <w:r w:rsidR="00D73A88" w:rsidRPr="002659A3">
        <w:rPr>
          <w:sz w:val="22"/>
          <w:szCs w:val="22"/>
        </w:rPr>
        <w:t>G</w:t>
      </w:r>
      <w:r w:rsidR="00A134BC" w:rsidRPr="002659A3">
        <w:rPr>
          <w:sz w:val="22"/>
          <w:szCs w:val="22"/>
        </w:rPr>
        <w:t>oals</w:t>
      </w:r>
      <w:r w:rsidR="00D73A88" w:rsidRPr="002659A3">
        <w:rPr>
          <w:sz w:val="22"/>
          <w:szCs w:val="22"/>
        </w:rPr>
        <w:t xml:space="preserve"> (UN), </w:t>
      </w:r>
      <w:r w:rsidR="00A134BC" w:rsidRPr="002659A3">
        <w:rPr>
          <w:sz w:val="22"/>
          <w:szCs w:val="22"/>
        </w:rPr>
        <w:t xml:space="preserve">the </w:t>
      </w:r>
      <w:r w:rsidR="00D73A88" w:rsidRPr="002659A3">
        <w:rPr>
          <w:sz w:val="22"/>
          <w:szCs w:val="22"/>
        </w:rPr>
        <w:t xml:space="preserve">Better life Index (OECD), and not </w:t>
      </w:r>
      <w:r w:rsidR="003676AE" w:rsidRPr="002659A3">
        <w:rPr>
          <w:sz w:val="22"/>
          <w:szCs w:val="22"/>
        </w:rPr>
        <w:t xml:space="preserve">just on </w:t>
      </w:r>
      <w:r w:rsidR="00D73A88" w:rsidRPr="002659A3">
        <w:rPr>
          <w:sz w:val="22"/>
          <w:szCs w:val="22"/>
        </w:rPr>
        <w:t>GDP and debt level</w:t>
      </w:r>
      <w:r w:rsidR="00A134BC" w:rsidRPr="002659A3">
        <w:rPr>
          <w:sz w:val="22"/>
          <w:szCs w:val="22"/>
        </w:rPr>
        <w:t>s</w:t>
      </w:r>
      <w:r w:rsidR="00D73A88" w:rsidRPr="002659A3">
        <w:rPr>
          <w:sz w:val="22"/>
          <w:szCs w:val="22"/>
        </w:rPr>
        <w:t xml:space="preserve"> (e</w:t>
      </w:r>
      <w:r w:rsidR="00F573FD" w:rsidRPr="002659A3">
        <w:rPr>
          <w:sz w:val="22"/>
          <w:szCs w:val="22"/>
        </w:rPr>
        <w:t>.</w:t>
      </w:r>
      <w:r w:rsidR="00D73A88" w:rsidRPr="002659A3">
        <w:rPr>
          <w:sz w:val="22"/>
          <w:szCs w:val="22"/>
        </w:rPr>
        <w:t>g</w:t>
      </w:r>
      <w:r w:rsidR="00F573FD" w:rsidRPr="002659A3">
        <w:rPr>
          <w:sz w:val="22"/>
          <w:szCs w:val="22"/>
        </w:rPr>
        <w:t>.</w:t>
      </w:r>
      <w:r w:rsidR="00D73A88" w:rsidRPr="002659A3">
        <w:rPr>
          <w:sz w:val="22"/>
          <w:szCs w:val="22"/>
        </w:rPr>
        <w:t xml:space="preserve"> Bhutan</w:t>
      </w:r>
      <w:r w:rsidR="00A134BC" w:rsidRPr="002659A3">
        <w:rPr>
          <w:sz w:val="22"/>
          <w:szCs w:val="22"/>
        </w:rPr>
        <w:t>:</w:t>
      </w:r>
      <w:r w:rsidR="00D73A88" w:rsidRPr="002659A3">
        <w:rPr>
          <w:sz w:val="22"/>
          <w:szCs w:val="22"/>
        </w:rPr>
        <w:t xml:space="preserve"> G</w:t>
      </w:r>
      <w:r w:rsidR="00A134BC" w:rsidRPr="002659A3">
        <w:rPr>
          <w:sz w:val="22"/>
          <w:szCs w:val="22"/>
        </w:rPr>
        <w:t xml:space="preserve">ross </w:t>
      </w:r>
      <w:r w:rsidR="00D73A88" w:rsidRPr="002659A3">
        <w:rPr>
          <w:sz w:val="22"/>
          <w:szCs w:val="22"/>
        </w:rPr>
        <w:t>N</w:t>
      </w:r>
      <w:r w:rsidR="00A134BC" w:rsidRPr="002659A3">
        <w:rPr>
          <w:sz w:val="22"/>
          <w:szCs w:val="22"/>
        </w:rPr>
        <w:t xml:space="preserve">ational </w:t>
      </w:r>
      <w:r w:rsidR="00D73A88" w:rsidRPr="002659A3">
        <w:rPr>
          <w:sz w:val="22"/>
          <w:szCs w:val="22"/>
        </w:rPr>
        <w:t>H</w:t>
      </w:r>
      <w:r w:rsidR="00A134BC" w:rsidRPr="002659A3">
        <w:rPr>
          <w:sz w:val="22"/>
          <w:szCs w:val="22"/>
        </w:rPr>
        <w:t>appiness</w:t>
      </w:r>
      <w:r w:rsidR="00D73A88" w:rsidRPr="002659A3">
        <w:rPr>
          <w:sz w:val="22"/>
          <w:szCs w:val="22"/>
        </w:rPr>
        <w:t xml:space="preserve">; UAE: National Program for Happiness and </w:t>
      </w:r>
      <w:r w:rsidR="00A134BC" w:rsidRPr="002659A3">
        <w:rPr>
          <w:sz w:val="22"/>
          <w:szCs w:val="22"/>
        </w:rPr>
        <w:t>Positivity</w:t>
      </w:r>
      <w:r w:rsidR="003676AE" w:rsidRPr="002659A3">
        <w:rPr>
          <w:sz w:val="22"/>
          <w:szCs w:val="22"/>
        </w:rPr>
        <w:t xml:space="preserve">; </w:t>
      </w:r>
      <w:r w:rsidR="00D73A88" w:rsidRPr="002659A3">
        <w:rPr>
          <w:sz w:val="22"/>
          <w:szCs w:val="22"/>
        </w:rPr>
        <w:t>New Zealand: Wellbeing budget)</w:t>
      </w:r>
      <w:r w:rsidR="00986446" w:rsidRPr="002659A3">
        <w:rPr>
          <w:sz w:val="22"/>
          <w:szCs w:val="22"/>
        </w:rPr>
        <w:t xml:space="preserve">. </w:t>
      </w:r>
      <w:r w:rsidR="00DD7384" w:rsidRPr="002659A3">
        <w:rPr>
          <w:sz w:val="22"/>
          <w:szCs w:val="22"/>
        </w:rPr>
        <w:t xml:space="preserve">Details of the </w:t>
      </w:r>
      <w:r w:rsidR="00986446" w:rsidRPr="002659A3">
        <w:rPr>
          <w:sz w:val="22"/>
          <w:szCs w:val="22"/>
        </w:rPr>
        <w:t>N</w:t>
      </w:r>
      <w:r w:rsidR="00A134BC" w:rsidRPr="002659A3">
        <w:rPr>
          <w:sz w:val="22"/>
          <w:szCs w:val="22"/>
        </w:rPr>
        <w:t xml:space="preserve">ew </w:t>
      </w:r>
      <w:r w:rsidR="00986446" w:rsidRPr="002659A3">
        <w:rPr>
          <w:sz w:val="22"/>
          <w:szCs w:val="22"/>
        </w:rPr>
        <w:t>Z</w:t>
      </w:r>
      <w:r w:rsidR="00A134BC" w:rsidRPr="002659A3">
        <w:rPr>
          <w:sz w:val="22"/>
          <w:szCs w:val="22"/>
        </w:rPr>
        <w:t>ealand</w:t>
      </w:r>
      <w:r w:rsidR="00986446" w:rsidRPr="002659A3">
        <w:rPr>
          <w:sz w:val="22"/>
          <w:szCs w:val="22"/>
        </w:rPr>
        <w:t xml:space="preserve"> </w:t>
      </w:r>
      <w:r w:rsidR="00DD7384" w:rsidRPr="002659A3">
        <w:rPr>
          <w:sz w:val="22"/>
          <w:szCs w:val="22"/>
        </w:rPr>
        <w:t xml:space="preserve">well-being </w:t>
      </w:r>
      <w:r w:rsidR="00986446" w:rsidRPr="002659A3">
        <w:rPr>
          <w:sz w:val="22"/>
          <w:szCs w:val="22"/>
        </w:rPr>
        <w:t>budget</w:t>
      </w:r>
      <w:r w:rsidR="00DD7384" w:rsidRPr="002659A3">
        <w:rPr>
          <w:sz w:val="22"/>
          <w:szCs w:val="22"/>
        </w:rPr>
        <w:t xml:space="preserve"> approach were discussed. </w:t>
      </w:r>
      <w:r w:rsidR="00986446" w:rsidRPr="002659A3">
        <w:rPr>
          <w:sz w:val="22"/>
          <w:szCs w:val="22"/>
        </w:rPr>
        <w:t xml:space="preserve"> </w:t>
      </w:r>
    </w:p>
    <w:p w14:paraId="5ABD3788" w14:textId="584C2747" w:rsidR="004F5929" w:rsidRPr="002659A3" w:rsidRDefault="004F5929" w:rsidP="004F5929">
      <w:pPr>
        <w:pStyle w:val="Heading1"/>
        <w:spacing w:before="0" w:afterLines="80" w:after="192" w:line="240" w:lineRule="auto"/>
        <w:rPr>
          <w:rFonts w:ascii="Times New Roman" w:hAnsi="Times New Roman" w:cs="Times New Roman"/>
          <w:sz w:val="22"/>
          <w:szCs w:val="22"/>
        </w:rPr>
      </w:pPr>
      <w:bookmarkStart w:id="9" w:name="_Toc24897632"/>
      <w:r w:rsidRPr="002659A3">
        <w:rPr>
          <w:rFonts w:ascii="Times New Roman" w:hAnsi="Times New Roman" w:cs="Times New Roman"/>
          <w:b/>
          <w:bCs/>
          <w:color w:val="538135" w:themeColor="accent6" w:themeShade="BF"/>
          <w:sz w:val="22"/>
          <w:szCs w:val="22"/>
        </w:rPr>
        <w:t xml:space="preserve">How </w:t>
      </w:r>
      <w:r w:rsidR="0042732F" w:rsidRPr="002659A3">
        <w:rPr>
          <w:rFonts w:ascii="Times New Roman" w:hAnsi="Times New Roman" w:cs="Times New Roman"/>
          <w:b/>
          <w:bCs/>
          <w:color w:val="538135" w:themeColor="accent6" w:themeShade="BF"/>
          <w:sz w:val="22"/>
          <w:szCs w:val="22"/>
        </w:rPr>
        <w:t>A</w:t>
      </w:r>
      <w:r w:rsidRPr="002659A3">
        <w:rPr>
          <w:rFonts w:ascii="Times New Roman" w:hAnsi="Times New Roman" w:cs="Times New Roman"/>
          <w:b/>
          <w:bCs/>
          <w:color w:val="538135" w:themeColor="accent6" w:themeShade="BF"/>
          <w:sz w:val="22"/>
          <w:szCs w:val="22"/>
        </w:rPr>
        <w:t>re Users’ Views Captured in Performance Indicators in France?</w:t>
      </w:r>
      <w:bookmarkEnd w:id="9"/>
    </w:p>
    <w:p w14:paraId="091A3760" w14:textId="6A87DA50" w:rsidR="00B75B2C" w:rsidRPr="002659A3" w:rsidRDefault="002F5926" w:rsidP="00F24B29">
      <w:pPr>
        <w:spacing w:afterLines="80" w:after="192"/>
        <w:jc w:val="both"/>
        <w:rPr>
          <w:bCs/>
          <w:sz w:val="22"/>
          <w:szCs w:val="22"/>
        </w:rPr>
      </w:pPr>
      <w:r w:rsidRPr="002659A3">
        <w:rPr>
          <w:b/>
          <w:sz w:val="22"/>
          <w:szCs w:val="22"/>
        </w:rPr>
        <w:t>Pierre-</w:t>
      </w:r>
      <w:r w:rsidR="00092C1F" w:rsidRPr="002659A3">
        <w:rPr>
          <w:b/>
          <w:sz w:val="22"/>
          <w:szCs w:val="22"/>
        </w:rPr>
        <w:t xml:space="preserve">Yves Le Corre, Head of Financial Function and Public Spending Performance Office, Budget Directorate, Ministry of Public Action and Accounts, presented </w:t>
      </w:r>
      <w:r w:rsidR="00805EA1" w:rsidRPr="002659A3">
        <w:rPr>
          <w:b/>
          <w:sz w:val="22"/>
          <w:szCs w:val="22"/>
        </w:rPr>
        <w:t xml:space="preserve">the country case of </w:t>
      </w:r>
      <w:r w:rsidR="00092C1F" w:rsidRPr="002659A3">
        <w:rPr>
          <w:b/>
          <w:sz w:val="22"/>
          <w:szCs w:val="22"/>
        </w:rPr>
        <w:t>France</w:t>
      </w:r>
      <w:r w:rsidR="00092C1F" w:rsidRPr="002659A3">
        <w:rPr>
          <w:sz w:val="22"/>
          <w:szCs w:val="22"/>
        </w:rPr>
        <w:t>.</w:t>
      </w:r>
      <w:r w:rsidR="00563A13" w:rsidRPr="002659A3">
        <w:rPr>
          <w:sz w:val="22"/>
          <w:szCs w:val="22"/>
        </w:rPr>
        <w:t xml:space="preserve"> </w:t>
      </w:r>
      <w:r w:rsidR="00AF754E" w:rsidRPr="002659A3">
        <w:rPr>
          <w:sz w:val="22"/>
          <w:szCs w:val="22"/>
        </w:rPr>
        <w:t>Comprehensive French reform brought forward with the adoption of the constitutional bylaw (the French Budget Act - LOLF), which came in force in 2006, had in its core the reorientation of budgeting towards strategic steering of public finance, improving transparency, and increasing spending effectiveness through result-orientation. The reform sought to answer the expectations of p</w:t>
      </w:r>
      <w:r w:rsidR="00E64DF7" w:rsidRPr="002659A3">
        <w:rPr>
          <w:sz w:val="22"/>
          <w:szCs w:val="22"/>
        </w:rPr>
        <w:t xml:space="preserve">arliament, </w:t>
      </w:r>
      <w:r w:rsidR="00AF754E" w:rsidRPr="002659A3">
        <w:rPr>
          <w:sz w:val="22"/>
          <w:szCs w:val="22"/>
        </w:rPr>
        <w:t>French people,</w:t>
      </w:r>
      <w:r w:rsidR="00E64DF7" w:rsidRPr="002659A3">
        <w:rPr>
          <w:sz w:val="22"/>
          <w:szCs w:val="22"/>
        </w:rPr>
        <w:t xml:space="preserve"> and </w:t>
      </w:r>
      <w:r w:rsidR="00AF754E" w:rsidRPr="002659A3">
        <w:rPr>
          <w:sz w:val="22"/>
          <w:szCs w:val="22"/>
        </w:rPr>
        <w:t>p</w:t>
      </w:r>
      <w:r w:rsidR="00E64DF7" w:rsidRPr="002659A3">
        <w:rPr>
          <w:sz w:val="22"/>
          <w:szCs w:val="22"/>
        </w:rPr>
        <w:t xml:space="preserve">ublic </w:t>
      </w:r>
      <w:r w:rsidR="00AF754E" w:rsidRPr="002659A3">
        <w:rPr>
          <w:sz w:val="22"/>
          <w:szCs w:val="22"/>
        </w:rPr>
        <w:t>m</w:t>
      </w:r>
      <w:r w:rsidR="00E64DF7" w:rsidRPr="002659A3">
        <w:rPr>
          <w:sz w:val="22"/>
          <w:szCs w:val="22"/>
        </w:rPr>
        <w:t xml:space="preserve">anagers. </w:t>
      </w:r>
      <w:r w:rsidR="00AF754E" w:rsidRPr="002659A3">
        <w:rPr>
          <w:sz w:val="22"/>
          <w:szCs w:val="22"/>
        </w:rPr>
        <w:t xml:space="preserve">Three perspectives for orientation towards the French people were </w:t>
      </w:r>
      <w:r w:rsidR="00F8018A" w:rsidRPr="002659A3">
        <w:rPr>
          <w:sz w:val="22"/>
          <w:szCs w:val="22"/>
        </w:rPr>
        <w:t>distinguished</w:t>
      </w:r>
      <w:r w:rsidR="00AF754E" w:rsidRPr="002659A3">
        <w:rPr>
          <w:sz w:val="22"/>
          <w:szCs w:val="22"/>
        </w:rPr>
        <w:t xml:space="preserve"> – citizen perspective (understanding h</w:t>
      </w:r>
      <w:r w:rsidR="00F8018A" w:rsidRPr="002659A3">
        <w:rPr>
          <w:sz w:val="22"/>
          <w:szCs w:val="22"/>
        </w:rPr>
        <w:t xml:space="preserve">ow public funds are used), user perspective (ensuring that administration meets public needs), and taxpayer perspective (justifying the use of taxes). Budget is divided into </w:t>
      </w:r>
      <w:r w:rsidR="00CA2EFD" w:rsidRPr="002659A3">
        <w:rPr>
          <w:sz w:val="22"/>
          <w:szCs w:val="22"/>
        </w:rPr>
        <w:t xml:space="preserve">32 </w:t>
      </w:r>
      <w:r w:rsidR="00F8018A" w:rsidRPr="002659A3">
        <w:rPr>
          <w:sz w:val="22"/>
          <w:szCs w:val="22"/>
        </w:rPr>
        <w:t xml:space="preserve">missions and </w:t>
      </w:r>
      <w:r w:rsidR="00CA2EFD" w:rsidRPr="002659A3">
        <w:rPr>
          <w:sz w:val="22"/>
          <w:szCs w:val="22"/>
        </w:rPr>
        <w:t xml:space="preserve">170 </w:t>
      </w:r>
      <w:r w:rsidR="00F8018A" w:rsidRPr="002659A3">
        <w:rPr>
          <w:sz w:val="22"/>
          <w:szCs w:val="22"/>
        </w:rPr>
        <w:t>programs and performance indicator targets and data on achievement of those targets is included for all missions and programs. Performance indicators are divided into the above mentioned three perspectives for orientation towards the French people: citizens’ view (i.e. socio-economic effectiveness in areas such as healthcare, safety, equality, and economic development</w:t>
      </w:r>
      <w:r w:rsidR="001725C9" w:rsidRPr="002659A3">
        <w:rPr>
          <w:sz w:val="22"/>
          <w:szCs w:val="22"/>
        </w:rPr>
        <w:t xml:space="preserve"> – around 48% of total performance indicators are these indicators</w:t>
      </w:r>
      <w:r w:rsidR="00F8018A" w:rsidRPr="002659A3">
        <w:rPr>
          <w:sz w:val="22"/>
          <w:szCs w:val="22"/>
        </w:rPr>
        <w:t xml:space="preserve">), users’ view (i.e. service quality, including satisfaction rate, waiting times for </w:t>
      </w:r>
      <w:r w:rsidR="00F8018A" w:rsidRPr="002659A3">
        <w:rPr>
          <w:sz w:val="22"/>
          <w:szCs w:val="22"/>
        </w:rPr>
        <w:lastRenderedPageBreak/>
        <w:t>administrative service, accessibility etc.</w:t>
      </w:r>
      <w:r w:rsidR="001725C9" w:rsidRPr="002659A3">
        <w:rPr>
          <w:sz w:val="22"/>
          <w:szCs w:val="22"/>
        </w:rPr>
        <w:t xml:space="preserve"> – around 18% of total performance indicators</w:t>
      </w:r>
      <w:r w:rsidR="001725C9" w:rsidRPr="002659A3">
        <w:rPr>
          <w:rStyle w:val="FootnoteReference"/>
          <w:sz w:val="22"/>
          <w:szCs w:val="22"/>
        </w:rPr>
        <w:footnoteReference w:id="8"/>
      </w:r>
      <w:r w:rsidR="00F8018A" w:rsidRPr="002659A3">
        <w:rPr>
          <w:sz w:val="22"/>
          <w:szCs w:val="22"/>
        </w:rPr>
        <w:t>), and taxpayers’ view (i.e. efficiency, including productivity, unit cost, cost management etc.</w:t>
      </w:r>
      <w:r w:rsidR="001725C9" w:rsidRPr="002659A3">
        <w:rPr>
          <w:sz w:val="22"/>
          <w:szCs w:val="22"/>
        </w:rPr>
        <w:t xml:space="preserve"> – around 34% of total performance indicators</w:t>
      </w:r>
      <w:r w:rsidR="00F8018A" w:rsidRPr="002659A3">
        <w:rPr>
          <w:sz w:val="22"/>
          <w:szCs w:val="22"/>
        </w:rPr>
        <w:t>).</w:t>
      </w:r>
      <w:r w:rsidR="001725C9" w:rsidRPr="002659A3">
        <w:rPr>
          <w:sz w:val="22"/>
          <w:szCs w:val="22"/>
        </w:rPr>
        <w:t xml:space="preserve"> </w:t>
      </w:r>
      <w:r w:rsidR="00805EA1" w:rsidRPr="002659A3">
        <w:rPr>
          <w:sz w:val="22"/>
          <w:szCs w:val="22"/>
        </w:rPr>
        <w:t xml:space="preserve">the </w:t>
      </w:r>
      <w:r w:rsidR="00B75B2C" w:rsidRPr="002659A3">
        <w:rPr>
          <w:sz w:val="22"/>
          <w:szCs w:val="22"/>
        </w:rPr>
        <w:t xml:space="preserve">Supreme Audit institution verifies the performance data in France. </w:t>
      </w:r>
      <w:r w:rsidR="00E55522" w:rsidRPr="002659A3">
        <w:rPr>
          <w:bCs/>
          <w:sz w:val="22"/>
          <w:szCs w:val="22"/>
        </w:rPr>
        <w:t xml:space="preserve">Mr. Le Corre provided examples </w:t>
      </w:r>
      <w:r w:rsidR="00872EA8" w:rsidRPr="002659A3">
        <w:rPr>
          <w:bCs/>
          <w:sz w:val="22"/>
          <w:szCs w:val="22"/>
        </w:rPr>
        <w:t xml:space="preserve">of performance indicators used in justice and education sectors based on user surveys and in police sector on administrative delays and accessibility based on administrative data. </w:t>
      </w:r>
    </w:p>
    <w:p w14:paraId="50DA9F50" w14:textId="786F15EE" w:rsidR="00397E01" w:rsidRPr="002659A3" w:rsidRDefault="002E3AE5" w:rsidP="00F24B29">
      <w:pPr>
        <w:spacing w:afterLines="80" w:after="192"/>
        <w:jc w:val="both"/>
        <w:rPr>
          <w:sz w:val="22"/>
          <w:szCs w:val="22"/>
        </w:rPr>
      </w:pPr>
      <w:r w:rsidRPr="002659A3">
        <w:rPr>
          <w:sz w:val="22"/>
          <w:szCs w:val="22"/>
        </w:rPr>
        <w:t xml:space="preserve">Despite having </w:t>
      </w:r>
      <w:r w:rsidR="00872EA8" w:rsidRPr="002659A3">
        <w:rPr>
          <w:sz w:val="22"/>
          <w:szCs w:val="22"/>
        </w:rPr>
        <w:t xml:space="preserve">experience of over ten </w:t>
      </w:r>
      <w:r w:rsidR="003F0895" w:rsidRPr="002659A3">
        <w:rPr>
          <w:sz w:val="22"/>
          <w:szCs w:val="22"/>
        </w:rPr>
        <w:t>years</w:t>
      </w:r>
      <w:r w:rsidR="00872EA8" w:rsidRPr="002659A3">
        <w:rPr>
          <w:sz w:val="22"/>
          <w:szCs w:val="22"/>
        </w:rPr>
        <w:t xml:space="preserve"> of</w:t>
      </w:r>
      <w:r w:rsidR="003F0895" w:rsidRPr="002659A3">
        <w:rPr>
          <w:sz w:val="22"/>
          <w:szCs w:val="22"/>
        </w:rPr>
        <w:t xml:space="preserve"> implementation </w:t>
      </w:r>
      <w:r w:rsidRPr="002659A3">
        <w:rPr>
          <w:sz w:val="22"/>
          <w:szCs w:val="22"/>
        </w:rPr>
        <w:t xml:space="preserve">experience, </w:t>
      </w:r>
      <w:r w:rsidR="00872EA8" w:rsidRPr="002659A3">
        <w:rPr>
          <w:sz w:val="22"/>
          <w:szCs w:val="22"/>
        </w:rPr>
        <w:t xml:space="preserve">France is continuously </w:t>
      </w:r>
      <w:r w:rsidR="003F0895" w:rsidRPr="002659A3">
        <w:rPr>
          <w:sz w:val="22"/>
          <w:szCs w:val="22"/>
        </w:rPr>
        <w:t xml:space="preserve">reflecting on </w:t>
      </w:r>
      <w:r w:rsidRPr="002659A3">
        <w:rPr>
          <w:sz w:val="22"/>
          <w:szCs w:val="22"/>
        </w:rPr>
        <w:t xml:space="preserve">the </w:t>
      </w:r>
      <w:r w:rsidR="003F0895" w:rsidRPr="002659A3">
        <w:rPr>
          <w:sz w:val="22"/>
          <w:szCs w:val="22"/>
        </w:rPr>
        <w:t>quality of indicators</w:t>
      </w:r>
      <w:r w:rsidR="00872EA8" w:rsidRPr="002659A3">
        <w:rPr>
          <w:sz w:val="22"/>
          <w:szCs w:val="22"/>
        </w:rPr>
        <w:t xml:space="preserve">, </w:t>
      </w:r>
      <w:r w:rsidR="003F0895" w:rsidRPr="002659A3">
        <w:rPr>
          <w:sz w:val="22"/>
          <w:szCs w:val="22"/>
        </w:rPr>
        <w:t>trying t</w:t>
      </w:r>
      <w:r w:rsidRPr="002659A3">
        <w:rPr>
          <w:sz w:val="22"/>
          <w:szCs w:val="22"/>
        </w:rPr>
        <w:t>o rationalize the</w:t>
      </w:r>
      <w:r w:rsidR="00872EA8" w:rsidRPr="002659A3">
        <w:rPr>
          <w:sz w:val="22"/>
          <w:szCs w:val="22"/>
        </w:rPr>
        <w:t xml:space="preserve"> number of indicators, and to make them more outcome-centric and to capture more quality of services from the citizens’/users’ perspective as opposed to focusing mainly on the users’ view from the administrative point of view in terms of delays.</w:t>
      </w:r>
      <w:r w:rsidR="006D445C" w:rsidRPr="002659A3">
        <w:rPr>
          <w:sz w:val="22"/>
          <w:szCs w:val="22"/>
        </w:rPr>
        <w:t xml:space="preserve"> </w:t>
      </w:r>
      <w:r w:rsidR="00872EA8" w:rsidRPr="002659A3">
        <w:rPr>
          <w:sz w:val="22"/>
          <w:szCs w:val="22"/>
        </w:rPr>
        <w:t xml:space="preserve">As an example of recent improvements to this end, in the justice sector, the work of courts was largely assessed </w:t>
      </w:r>
      <w:r w:rsidR="00A17C68" w:rsidRPr="002659A3">
        <w:rPr>
          <w:sz w:val="22"/>
          <w:szCs w:val="22"/>
        </w:rPr>
        <w:t xml:space="preserve">by output measures such as </w:t>
      </w:r>
      <w:r w:rsidR="00872EA8" w:rsidRPr="002659A3">
        <w:rPr>
          <w:sz w:val="22"/>
          <w:szCs w:val="22"/>
        </w:rPr>
        <w:t xml:space="preserve">administrative efficiency/ </w:t>
      </w:r>
      <w:r w:rsidR="00A81359" w:rsidRPr="002659A3">
        <w:rPr>
          <w:sz w:val="22"/>
          <w:szCs w:val="22"/>
        </w:rPr>
        <w:t>delay</w:t>
      </w:r>
      <w:r w:rsidR="00872EA8" w:rsidRPr="002659A3">
        <w:rPr>
          <w:sz w:val="22"/>
          <w:szCs w:val="22"/>
        </w:rPr>
        <w:t xml:space="preserve">s, while in 2019, </w:t>
      </w:r>
      <w:r w:rsidR="00A17C68" w:rsidRPr="002659A3">
        <w:rPr>
          <w:sz w:val="22"/>
          <w:szCs w:val="22"/>
        </w:rPr>
        <w:t>the</w:t>
      </w:r>
      <w:r w:rsidR="00426414" w:rsidRPr="002659A3">
        <w:rPr>
          <w:sz w:val="22"/>
          <w:szCs w:val="22"/>
        </w:rPr>
        <w:t xml:space="preserve"> satisfaction rate</w:t>
      </w:r>
      <w:r w:rsidR="00872EA8" w:rsidRPr="002659A3">
        <w:rPr>
          <w:sz w:val="22"/>
          <w:szCs w:val="22"/>
        </w:rPr>
        <w:t>s are captured</w:t>
      </w:r>
      <w:r w:rsidR="00A17C68" w:rsidRPr="002659A3">
        <w:rPr>
          <w:sz w:val="22"/>
          <w:szCs w:val="22"/>
        </w:rPr>
        <w:t xml:space="preserve"> through conductin</w:t>
      </w:r>
      <w:r w:rsidR="00872EA8" w:rsidRPr="002659A3">
        <w:rPr>
          <w:sz w:val="22"/>
          <w:szCs w:val="22"/>
        </w:rPr>
        <w:t>g</w:t>
      </w:r>
      <w:r w:rsidR="00A17C68" w:rsidRPr="002659A3">
        <w:rPr>
          <w:sz w:val="22"/>
          <w:szCs w:val="22"/>
        </w:rPr>
        <w:t xml:space="preserve"> </w:t>
      </w:r>
      <w:r w:rsidR="00426414" w:rsidRPr="002659A3">
        <w:rPr>
          <w:sz w:val="22"/>
          <w:szCs w:val="22"/>
        </w:rPr>
        <w:t>surveys.</w:t>
      </w:r>
      <w:r w:rsidR="006D445C" w:rsidRPr="002659A3">
        <w:rPr>
          <w:sz w:val="22"/>
          <w:szCs w:val="22"/>
        </w:rPr>
        <w:t xml:space="preserve"> </w:t>
      </w:r>
      <w:r w:rsidR="00B75B2C" w:rsidRPr="002659A3">
        <w:rPr>
          <w:sz w:val="22"/>
          <w:szCs w:val="22"/>
        </w:rPr>
        <w:t xml:space="preserve">An important consideration to take into account is </w:t>
      </w:r>
      <w:r w:rsidR="006D445C" w:rsidRPr="002659A3">
        <w:rPr>
          <w:sz w:val="22"/>
          <w:szCs w:val="22"/>
        </w:rPr>
        <w:t xml:space="preserve">that using satisfaction rates </w:t>
      </w:r>
      <w:r w:rsidR="007855D0" w:rsidRPr="002659A3">
        <w:rPr>
          <w:sz w:val="22"/>
          <w:szCs w:val="22"/>
        </w:rPr>
        <w:t>introduc</w:t>
      </w:r>
      <w:r w:rsidR="00426414" w:rsidRPr="002659A3">
        <w:rPr>
          <w:sz w:val="22"/>
          <w:szCs w:val="22"/>
        </w:rPr>
        <w:t>e</w:t>
      </w:r>
      <w:r w:rsidR="006D445C" w:rsidRPr="002659A3">
        <w:rPr>
          <w:sz w:val="22"/>
          <w:szCs w:val="22"/>
        </w:rPr>
        <w:t>s a more</w:t>
      </w:r>
      <w:r w:rsidR="00426414" w:rsidRPr="002659A3">
        <w:rPr>
          <w:sz w:val="22"/>
          <w:szCs w:val="22"/>
        </w:rPr>
        <w:t xml:space="preserve"> subjective </w:t>
      </w:r>
      <w:r w:rsidR="006D445C" w:rsidRPr="002659A3">
        <w:rPr>
          <w:sz w:val="22"/>
          <w:szCs w:val="22"/>
        </w:rPr>
        <w:t>performance</w:t>
      </w:r>
      <w:r w:rsidR="007855D0" w:rsidRPr="002659A3">
        <w:rPr>
          <w:sz w:val="22"/>
          <w:szCs w:val="22"/>
        </w:rPr>
        <w:t xml:space="preserve"> framework</w:t>
      </w:r>
      <w:r w:rsidR="00426414" w:rsidRPr="002659A3">
        <w:rPr>
          <w:sz w:val="22"/>
          <w:szCs w:val="22"/>
        </w:rPr>
        <w:t xml:space="preserve">. </w:t>
      </w:r>
      <w:r w:rsidR="006D445C" w:rsidRPr="002659A3">
        <w:rPr>
          <w:sz w:val="22"/>
          <w:szCs w:val="22"/>
        </w:rPr>
        <w:t>Overall public reaction and the reaction of parliament are very positive, however public sector managers point to the risk of their performance being evaluated by subjective measures that in some cases may not reflect the objective quality of their work (for example, due to citizens not being fully informed or having unrealistic expectations)</w:t>
      </w:r>
      <w:r w:rsidR="00CA2EFD" w:rsidRPr="002659A3">
        <w:rPr>
          <w:sz w:val="22"/>
          <w:szCs w:val="22"/>
        </w:rPr>
        <w:t>.</w:t>
      </w:r>
      <w:r w:rsidR="006A4FAB" w:rsidRPr="002659A3">
        <w:rPr>
          <w:sz w:val="22"/>
          <w:szCs w:val="22"/>
        </w:rPr>
        <w:t xml:space="preserve"> </w:t>
      </w:r>
      <w:r w:rsidR="00B75B2C" w:rsidRPr="002659A3">
        <w:rPr>
          <w:sz w:val="22"/>
          <w:szCs w:val="22"/>
        </w:rPr>
        <w:t>A</w:t>
      </w:r>
      <w:r w:rsidR="00CA2EFD" w:rsidRPr="002659A3">
        <w:rPr>
          <w:sz w:val="22"/>
          <w:szCs w:val="22"/>
        </w:rPr>
        <w:t xml:space="preserve">s the French performance frameworks </w:t>
      </w:r>
      <w:r w:rsidR="00B75B2C" w:rsidRPr="002659A3">
        <w:rPr>
          <w:sz w:val="22"/>
          <w:szCs w:val="22"/>
        </w:rPr>
        <w:t xml:space="preserve">has </w:t>
      </w:r>
      <w:r w:rsidR="00CA2EFD" w:rsidRPr="002659A3">
        <w:rPr>
          <w:sz w:val="22"/>
          <w:szCs w:val="22"/>
        </w:rPr>
        <w:t xml:space="preserve">matured over the last decade, and in line with overall global and OECD trends, it has become </w:t>
      </w:r>
      <w:r w:rsidR="00BC23EA" w:rsidRPr="002659A3">
        <w:rPr>
          <w:sz w:val="22"/>
          <w:szCs w:val="22"/>
        </w:rPr>
        <w:t>evident</w:t>
      </w:r>
      <w:r w:rsidR="00CA2EFD" w:rsidRPr="002659A3">
        <w:rPr>
          <w:sz w:val="22"/>
          <w:szCs w:val="22"/>
        </w:rPr>
        <w:t xml:space="preserve"> that the performance information cannot and should not be used as the sole information on which the budgeting decisions are made, due to</w:t>
      </w:r>
      <w:r w:rsidR="00271EAF" w:rsidRPr="002659A3">
        <w:rPr>
          <w:sz w:val="22"/>
          <w:szCs w:val="22"/>
        </w:rPr>
        <w:t xml:space="preserve"> </w:t>
      </w:r>
      <w:r w:rsidR="00BC23EA" w:rsidRPr="002659A3">
        <w:rPr>
          <w:sz w:val="22"/>
          <w:szCs w:val="22"/>
        </w:rPr>
        <w:t xml:space="preserve">these </w:t>
      </w:r>
      <w:r w:rsidR="00271EAF" w:rsidRPr="002659A3">
        <w:rPr>
          <w:sz w:val="22"/>
          <w:szCs w:val="22"/>
        </w:rPr>
        <w:t xml:space="preserve">complex </w:t>
      </w:r>
      <w:r w:rsidR="00BC23EA" w:rsidRPr="002659A3">
        <w:rPr>
          <w:sz w:val="22"/>
          <w:szCs w:val="22"/>
        </w:rPr>
        <w:t xml:space="preserve">and lagged </w:t>
      </w:r>
      <w:r w:rsidR="00271EAF" w:rsidRPr="002659A3">
        <w:rPr>
          <w:sz w:val="22"/>
          <w:szCs w:val="22"/>
        </w:rPr>
        <w:t>relationships between government actions and final outcomes</w:t>
      </w:r>
      <w:r w:rsidR="00BC23EA" w:rsidRPr="002659A3">
        <w:rPr>
          <w:sz w:val="22"/>
          <w:szCs w:val="22"/>
        </w:rPr>
        <w:t>, thus France defines its system as performance-informed rather than direct performance-based budgeting. At the same time, continued efforts to improve the quality and usefulness of performance data are being invested</w:t>
      </w:r>
      <w:r w:rsidR="00B75B2C" w:rsidRPr="002659A3">
        <w:rPr>
          <w:sz w:val="22"/>
          <w:szCs w:val="22"/>
        </w:rPr>
        <w:t xml:space="preserve"> as described above</w:t>
      </w:r>
      <w:r w:rsidR="00BC23EA" w:rsidRPr="002659A3">
        <w:rPr>
          <w:sz w:val="22"/>
          <w:szCs w:val="22"/>
        </w:rPr>
        <w:t xml:space="preserve">. </w:t>
      </w:r>
      <w:r w:rsidR="00B75B2C" w:rsidRPr="002659A3">
        <w:rPr>
          <w:sz w:val="22"/>
          <w:szCs w:val="22"/>
        </w:rPr>
        <w:t>Moreover, t</w:t>
      </w:r>
      <w:r w:rsidR="00BC23EA" w:rsidRPr="002659A3">
        <w:rPr>
          <w:sz w:val="22"/>
          <w:szCs w:val="22"/>
        </w:rPr>
        <w:t xml:space="preserve">o this end two additional initiatives have been implemented – Public Action 2022 and New Wealth Indicators. Public Action 2022 </w:t>
      </w:r>
      <w:r w:rsidR="00E83033" w:rsidRPr="002659A3">
        <w:rPr>
          <w:sz w:val="22"/>
          <w:szCs w:val="22"/>
        </w:rPr>
        <w:t>includes 5 cross-transformation areas</w:t>
      </w:r>
      <w:r w:rsidR="00BC23EA" w:rsidRPr="002659A3">
        <w:rPr>
          <w:sz w:val="22"/>
          <w:szCs w:val="22"/>
        </w:rPr>
        <w:t xml:space="preserve">, including </w:t>
      </w:r>
      <w:r w:rsidR="001818A0" w:rsidRPr="002659A3">
        <w:rPr>
          <w:sz w:val="22"/>
          <w:szCs w:val="22"/>
        </w:rPr>
        <w:t>transparency</w:t>
      </w:r>
      <w:r w:rsidR="00E83033" w:rsidRPr="002659A3">
        <w:rPr>
          <w:sz w:val="22"/>
          <w:szCs w:val="22"/>
        </w:rPr>
        <w:t xml:space="preserve">, </w:t>
      </w:r>
      <w:r w:rsidR="00F24B29" w:rsidRPr="002659A3">
        <w:rPr>
          <w:sz w:val="22"/>
          <w:szCs w:val="22"/>
        </w:rPr>
        <w:t xml:space="preserve">instructing that </w:t>
      </w:r>
      <w:r w:rsidR="001818A0" w:rsidRPr="002659A3">
        <w:rPr>
          <w:sz w:val="22"/>
          <w:szCs w:val="22"/>
        </w:rPr>
        <w:t>100% of state services</w:t>
      </w:r>
      <w:r w:rsidR="00F24B29" w:rsidRPr="002659A3">
        <w:rPr>
          <w:sz w:val="22"/>
          <w:szCs w:val="22"/>
        </w:rPr>
        <w:t xml:space="preserve"> provided to citizens</w:t>
      </w:r>
      <w:r w:rsidR="001818A0" w:rsidRPr="002659A3">
        <w:rPr>
          <w:sz w:val="22"/>
          <w:szCs w:val="22"/>
        </w:rPr>
        <w:t xml:space="preserve"> must </w:t>
      </w:r>
      <w:r w:rsidR="00F24B29" w:rsidRPr="002659A3">
        <w:rPr>
          <w:sz w:val="22"/>
          <w:szCs w:val="22"/>
        </w:rPr>
        <w:t xml:space="preserve">include </w:t>
      </w:r>
      <w:r w:rsidR="00E83033" w:rsidRPr="002659A3">
        <w:rPr>
          <w:sz w:val="22"/>
          <w:szCs w:val="22"/>
        </w:rPr>
        <w:t xml:space="preserve">surveys to measure </w:t>
      </w:r>
      <w:r w:rsidR="00F24B29" w:rsidRPr="002659A3">
        <w:rPr>
          <w:sz w:val="22"/>
          <w:szCs w:val="22"/>
        </w:rPr>
        <w:t xml:space="preserve">user </w:t>
      </w:r>
      <w:r w:rsidR="00E83033" w:rsidRPr="002659A3">
        <w:rPr>
          <w:sz w:val="22"/>
          <w:szCs w:val="22"/>
        </w:rPr>
        <w:t>satisfa</w:t>
      </w:r>
      <w:r w:rsidR="001818A0" w:rsidRPr="002659A3">
        <w:rPr>
          <w:sz w:val="22"/>
          <w:szCs w:val="22"/>
        </w:rPr>
        <w:t>ction rate</w:t>
      </w:r>
      <w:r w:rsidR="00F24B29" w:rsidRPr="002659A3">
        <w:rPr>
          <w:sz w:val="22"/>
          <w:szCs w:val="22"/>
        </w:rPr>
        <w:t>s, as well as administrative performance indicators. Surveys</w:t>
      </w:r>
      <w:r w:rsidR="00E83033" w:rsidRPr="002659A3">
        <w:rPr>
          <w:sz w:val="22"/>
          <w:szCs w:val="22"/>
        </w:rPr>
        <w:t xml:space="preserve"> have already been conducted and </w:t>
      </w:r>
      <w:r w:rsidR="001818A0" w:rsidRPr="002659A3">
        <w:rPr>
          <w:sz w:val="22"/>
          <w:szCs w:val="22"/>
        </w:rPr>
        <w:t>published for</w:t>
      </w:r>
      <w:r w:rsidR="00F24B29" w:rsidRPr="002659A3">
        <w:rPr>
          <w:sz w:val="22"/>
          <w:szCs w:val="22"/>
        </w:rPr>
        <w:t xml:space="preserve"> sectors of</w:t>
      </w:r>
      <w:r w:rsidR="001818A0" w:rsidRPr="002659A3">
        <w:rPr>
          <w:sz w:val="22"/>
          <w:szCs w:val="22"/>
        </w:rPr>
        <w:t xml:space="preserve"> social security, employment, police, justice (courts), </w:t>
      </w:r>
      <w:r w:rsidR="00E83033" w:rsidRPr="002659A3">
        <w:rPr>
          <w:sz w:val="22"/>
          <w:szCs w:val="22"/>
        </w:rPr>
        <w:t xml:space="preserve">and </w:t>
      </w:r>
      <w:r w:rsidR="001818A0" w:rsidRPr="002659A3">
        <w:rPr>
          <w:sz w:val="22"/>
          <w:szCs w:val="22"/>
        </w:rPr>
        <w:t xml:space="preserve">prefectures (local government). </w:t>
      </w:r>
      <w:r w:rsidR="00F24B29" w:rsidRPr="002659A3">
        <w:rPr>
          <w:sz w:val="22"/>
          <w:szCs w:val="22"/>
        </w:rPr>
        <w:t xml:space="preserve">The New Wealth Indicators </w:t>
      </w:r>
      <w:r w:rsidR="00805EA1" w:rsidRPr="002659A3">
        <w:rPr>
          <w:sz w:val="22"/>
          <w:szCs w:val="22"/>
        </w:rPr>
        <w:t xml:space="preserve">initiative </w:t>
      </w:r>
      <w:r w:rsidR="00F24B29" w:rsidRPr="002659A3">
        <w:rPr>
          <w:sz w:val="22"/>
          <w:szCs w:val="22"/>
        </w:rPr>
        <w:t xml:space="preserve">introduced ten </w:t>
      </w:r>
      <w:r w:rsidR="00E83033" w:rsidRPr="002659A3">
        <w:rPr>
          <w:sz w:val="22"/>
          <w:szCs w:val="22"/>
        </w:rPr>
        <w:t xml:space="preserve">wealth indicators as part </w:t>
      </w:r>
      <w:r w:rsidR="00AF1987" w:rsidRPr="002659A3">
        <w:rPr>
          <w:sz w:val="22"/>
          <w:szCs w:val="22"/>
        </w:rPr>
        <w:t xml:space="preserve">of key national indicators </w:t>
      </w:r>
      <w:r w:rsidR="00D979F7" w:rsidRPr="002659A3">
        <w:rPr>
          <w:sz w:val="22"/>
          <w:szCs w:val="22"/>
        </w:rPr>
        <w:t>f</w:t>
      </w:r>
      <w:r w:rsidR="00E83033" w:rsidRPr="002659A3">
        <w:rPr>
          <w:sz w:val="22"/>
          <w:szCs w:val="22"/>
        </w:rPr>
        <w:t>ocused on economic development (employment rate, total debt</w:t>
      </w:r>
      <w:r w:rsidR="00F24B29" w:rsidRPr="002659A3">
        <w:rPr>
          <w:sz w:val="22"/>
          <w:szCs w:val="22"/>
        </w:rPr>
        <w:t>, research efforts</w:t>
      </w:r>
      <w:r w:rsidR="00E83033" w:rsidRPr="002659A3">
        <w:rPr>
          <w:sz w:val="22"/>
          <w:szCs w:val="22"/>
        </w:rPr>
        <w:t>);</w:t>
      </w:r>
      <w:r w:rsidR="00D979F7" w:rsidRPr="002659A3">
        <w:rPr>
          <w:sz w:val="22"/>
          <w:szCs w:val="22"/>
        </w:rPr>
        <w:t xml:space="preserve"> social development </w:t>
      </w:r>
      <w:r w:rsidR="00E83033" w:rsidRPr="002659A3">
        <w:rPr>
          <w:sz w:val="22"/>
          <w:szCs w:val="22"/>
        </w:rPr>
        <w:t>(</w:t>
      </w:r>
      <w:r w:rsidR="00F24B29" w:rsidRPr="002659A3">
        <w:rPr>
          <w:sz w:val="22"/>
          <w:szCs w:val="22"/>
        </w:rPr>
        <w:t xml:space="preserve">life </w:t>
      </w:r>
      <w:r w:rsidR="00E83033" w:rsidRPr="002659A3">
        <w:rPr>
          <w:sz w:val="22"/>
          <w:szCs w:val="22"/>
        </w:rPr>
        <w:t xml:space="preserve">satisfaction, </w:t>
      </w:r>
      <w:r w:rsidR="00F24B29" w:rsidRPr="002659A3">
        <w:rPr>
          <w:sz w:val="22"/>
          <w:szCs w:val="22"/>
        </w:rPr>
        <w:t xml:space="preserve">life in good health expectancy, </w:t>
      </w:r>
      <w:r w:rsidR="00E83033" w:rsidRPr="002659A3">
        <w:rPr>
          <w:sz w:val="22"/>
          <w:szCs w:val="22"/>
        </w:rPr>
        <w:t>poverty</w:t>
      </w:r>
      <w:r w:rsidR="00F24B29" w:rsidRPr="002659A3">
        <w:rPr>
          <w:sz w:val="22"/>
          <w:szCs w:val="22"/>
        </w:rPr>
        <w:t xml:space="preserve"> in quality of living, income inequalities, early leavers in the education system</w:t>
      </w:r>
      <w:r w:rsidR="00E83033" w:rsidRPr="002659A3">
        <w:rPr>
          <w:sz w:val="22"/>
          <w:szCs w:val="22"/>
        </w:rPr>
        <w:t>);</w:t>
      </w:r>
      <w:r w:rsidR="00D979F7" w:rsidRPr="002659A3">
        <w:rPr>
          <w:sz w:val="22"/>
          <w:szCs w:val="22"/>
        </w:rPr>
        <w:t xml:space="preserve"> and sustainable development (carbon footprint</w:t>
      </w:r>
      <w:r w:rsidR="00F24B29" w:rsidRPr="002659A3">
        <w:rPr>
          <w:sz w:val="22"/>
          <w:szCs w:val="22"/>
        </w:rPr>
        <w:t xml:space="preserve"> and </w:t>
      </w:r>
      <w:r w:rsidR="004C2A71" w:rsidRPr="002659A3">
        <w:rPr>
          <w:sz w:val="22"/>
          <w:szCs w:val="22"/>
        </w:rPr>
        <w:t>artificialization</w:t>
      </w:r>
      <w:r w:rsidR="00F24B29" w:rsidRPr="002659A3">
        <w:rPr>
          <w:sz w:val="22"/>
          <w:szCs w:val="22"/>
        </w:rPr>
        <w:t xml:space="preserve"> of land</w:t>
      </w:r>
      <w:r w:rsidR="00D979F7" w:rsidRPr="002659A3">
        <w:rPr>
          <w:sz w:val="22"/>
          <w:szCs w:val="22"/>
        </w:rPr>
        <w:t xml:space="preserve">). </w:t>
      </w:r>
      <w:r w:rsidR="00E42F59" w:rsidRPr="002659A3">
        <w:rPr>
          <w:sz w:val="22"/>
          <w:szCs w:val="22"/>
        </w:rPr>
        <w:t>The c</w:t>
      </w:r>
      <w:r w:rsidR="00AF1987" w:rsidRPr="002659A3">
        <w:rPr>
          <w:sz w:val="22"/>
          <w:szCs w:val="22"/>
        </w:rPr>
        <w:t xml:space="preserve">hallenge </w:t>
      </w:r>
      <w:r w:rsidR="00E42F59" w:rsidRPr="002659A3">
        <w:rPr>
          <w:sz w:val="22"/>
          <w:szCs w:val="22"/>
        </w:rPr>
        <w:t xml:space="preserve">is </w:t>
      </w:r>
      <w:r w:rsidR="00AF1987" w:rsidRPr="002659A3">
        <w:rPr>
          <w:sz w:val="22"/>
          <w:szCs w:val="22"/>
        </w:rPr>
        <w:t xml:space="preserve">to </w:t>
      </w:r>
      <w:r w:rsidR="00F24B29" w:rsidRPr="002659A3">
        <w:rPr>
          <w:sz w:val="22"/>
          <w:szCs w:val="22"/>
        </w:rPr>
        <w:t xml:space="preserve">fully integrate these initiatives within the performance framework and to make linkages with </w:t>
      </w:r>
      <w:r w:rsidR="00B15639" w:rsidRPr="002659A3">
        <w:rPr>
          <w:sz w:val="22"/>
          <w:szCs w:val="22"/>
        </w:rPr>
        <w:t>performance assessment of public managers</w:t>
      </w:r>
      <w:r w:rsidR="00F24B29" w:rsidRPr="002659A3">
        <w:rPr>
          <w:sz w:val="22"/>
          <w:szCs w:val="22"/>
        </w:rPr>
        <w:t xml:space="preserve"> </w:t>
      </w:r>
      <w:r w:rsidR="00E42F59" w:rsidRPr="002659A3">
        <w:rPr>
          <w:sz w:val="22"/>
          <w:szCs w:val="22"/>
        </w:rPr>
        <w:t xml:space="preserve">to </w:t>
      </w:r>
      <w:r w:rsidR="00397E01" w:rsidRPr="002659A3">
        <w:rPr>
          <w:sz w:val="22"/>
          <w:szCs w:val="22"/>
        </w:rPr>
        <w:t>i</w:t>
      </w:r>
      <w:r w:rsidR="00E42F59" w:rsidRPr="002659A3">
        <w:rPr>
          <w:sz w:val="22"/>
          <w:szCs w:val="22"/>
        </w:rPr>
        <w:t>ncenti</w:t>
      </w:r>
      <w:r w:rsidR="00CB352E" w:rsidRPr="002659A3">
        <w:rPr>
          <w:sz w:val="22"/>
          <w:szCs w:val="22"/>
        </w:rPr>
        <w:t>vi</w:t>
      </w:r>
      <w:r w:rsidR="00E42F59" w:rsidRPr="002659A3">
        <w:rPr>
          <w:sz w:val="22"/>
          <w:szCs w:val="22"/>
        </w:rPr>
        <w:t>ze managers to achieve</w:t>
      </w:r>
      <w:r w:rsidR="00397E01" w:rsidRPr="002659A3">
        <w:rPr>
          <w:sz w:val="22"/>
          <w:szCs w:val="22"/>
        </w:rPr>
        <w:t xml:space="preserve"> results.</w:t>
      </w:r>
      <w:r w:rsidR="00E42F59" w:rsidRPr="002659A3">
        <w:rPr>
          <w:sz w:val="22"/>
          <w:szCs w:val="22"/>
        </w:rPr>
        <w:t xml:space="preserve"> The performance</w:t>
      </w:r>
      <w:r w:rsidR="00397E01" w:rsidRPr="002659A3">
        <w:rPr>
          <w:sz w:val="22"/>
          <w:szCs w:val="22"/>
        </w:rPr>
        <w:t xml:space="preserve"> framework must </w:t>
      </w:r>
      <w:r w:rsidR="00E42F59" w:rsidRPr="002659A3">
        <w:rPr>
          <w:sz w:val="22"/>
          <w:szCs w:val="22"/>
        </w:rPr>
        <w:t xml:space="preserve">also </w:t>
      </w:r>
      <w:r w:rsidR="00397E01" w:rsidRPr="002659A3">
        <w:rPr>
          <w:sz w:val="22"/>
          <w:szCs w:val="22"/>
        </w:rPr>
        <w:t xml:space="preserve">be resilient </w:t>
      </w:r>
      <w:r w:rsidR="00F24B29" w:rsidRPr="002659A3">
        <w:rPr>
          <w:sz w:val="22"/>
          <w:szCs w:val="22"/>
        </w:rPr>
        <w:t xml:space="preserve">to </w:t>
      </w:r>
      <w:r w:rsidR="00397E01" w:rsidRPr="002659A3">
        <w:rPr>
          <w:sz w:val="22"/>
          <w:szCs w:val="22"/>
        </w:rPr>
        <w:t>political change</w:t>
      </w:r>
      <w:r w:rsidR="00F24B29" w:rsidRPr="002659A3">
        <w:rPr>
          <w:sz w:val="22"/>
          <w:szCs w:val="22"/>
        </w:rPr>
        <w:t>s</w:t>
      </w:r>
      <w:r w:rsidR="00397E01" w:rsidRPr="002659A3">
        <w:rPr>
          <w:sz w:val="22"/>
          <w:szCs w:val="22"/>
        </w:rPr>
        <w:t>.</w:t>
      </w:r>
    </w:p>
    <w:p w14:paraId="108E3B4F" w14:textId="4F279444" w:rsidR="005515BC" w:rsidRPr="002659A3" w:rsidRDefault="005515BC" w:rsidP="005515BC">
      <w:pPr>
        <w:pStyle w:val="Heading1"/>
        <w:spacing w:before="0" w:afterLines="80" w:after="192" w:line="240" w:lineRule="auto"/>
        <w:rPr>
          <w:rFonts w:ascii="Times New Roman" w:hAnsi="Times New Roman" w:cs="Times New Roman"/>
          <w:sz w:val="22"/>
          <w:szCs w:val="22"/>
        </w:rPr>
      </w:pPr>
      <w:bookmarkStart w:id="10" w:name="_Toc24897633"/>
      <w:r w:rsidRPr="002659A3">
        <w:rPr>
          <w:rFonts w:ascii="Times New Roman" w:hAnsi="Times New Roman" w:cs="Times New Roman"/>
          <w:b/>
          <w:bCs/>
          <w:color w:val="538135" w:themeColor="accent6" w:themeShade="BF"/>
          <w:sz w:val="22"/>
          <w:szCs w:val="22"/>
        </w:rPr>
        <w:t>How are Citizens’ Satisfaction and Experiences Measured in Canada?</w:t>
      </w:r>
      <w:bookmarkEnd w:id="10"/>
    </w:p>
    <w:p w14:paraId="28773340" w14:textId="77777777" w:rsidR="006A4FAB" w:rsidRPr="002659A3" w:rsidRDefault="00B555AA" w:rsidP="00EF53AE">
      <w:pPr>
        <w:spacing w:afterLines="80" w:after="192"/>
        <w:jc w:val="both"/>
        <w:rPr>
          <w:sz w:val="22"/>
          <w:szCs w:val="22"/>
        </w:rPr>
      </w:pPr>
      <w:r w:rsidRPr="002659A3">
        <w:rPr>
          <w:b/>
          <w:sz w:val="22"/>
          <w:szCs w:val="22"/>
        </w:rPr>
        <w:t>Christine Minas, Director</w:t>
      </w:r>
      <w:r w:rsidR="00676C56" w:rsidRPr="002659A3">
        <w:rPr>
          <w:b/>
          <w:sz w:val="22"/>
          <w:szCs w:val="22"/>
        </w:rPr>
        <w:t xml:space="preserve"> of the</w:t>
      </w:r>
      <w:r w:rsidRPr="002659A3">
        <w:rPr>
          <w:b/>
          <w:sz w:val="22"/>
          <w:szCs w:val="22"/>
        </w:rPr>
        <w:t xml:space="preserve"> Results Division, </w:t>
      </w:r>
      <w:r w:rsidR="00D23887" w:rsidRPr="002659A3">
        <w:rPr>
          <w:b/>
          <w:sz w:val="22"/>
          <w:szCs w:val="22"/>
        </w:rPr>
        <w:t xml:space="preserve">Treasury Board of Canada Secretariat </w:t>
      </w:r>
      <w:r w:rsidR="000A4316" w:rsidRPr="002659A3">
        <w:rPr>
          <w:b/>
          <w:sz w:val="22"/>
          <w:szCs w:val="22"/>
        </w:rPr>
        <w:t xml:space="preserve">presented </w:t>
      </w:r>
      <w:r w:rsidR="00676C56" w:rsidRPr="002659A3">
        <w:rPr>
          <w:b/>
          <w:sz w:val="22"/>
          <w:szCs w:val="22"/>
        </w:rPr>
        <w:t xml:space="preserve">on performance metrics used in Canada to capture the feedback from citizens and service users. </w:t>
      </w:r>
      <w:r w:rsidR="005D3B69" w:rsidRPr="002659A3">
        <w:rPr>
          <w:sz w:val="22"/>
          <w:szCs w:val="22"/>
        </w:rPr>
        <w:t xml:space="preserve">Canada has </w:t>
      </w:r>
      <w:r w:rsidR="00695984" w:rsidRPr="002659A3">
        <w:rPr>
          <w:sz w:val="22"/>
          <w:szCs w:val="22"/>
        </w:rPr>
        <w:t xml:space="preserve">recently </w:t>
      </w:r>
      <w:r w:rsidR="00EA1420" w:rsidRPr="002659A3">
        <w:rPr>
          <w:sz w:val="22"/>
          <w:szCs w:val="22"/>
        </w:rPr>
        <w:t xml:space="preserve">invested government-wide efforts into focusing more on the citizens/clients and inclusiveness in provision of government services, </w:t>
      </w:r>
      <w:r w:rsidR="00695984" w:rsidRPr="002659A3">
        <w:rPr>
          <w:sz w:val="22"/>
          <w:szCs w:val="22"/>
        </w:rPr>
        <w:t xml:space="preserve">combining </w:t>
      </w:r>
      <w:r w:rsidR="005D3B69" w:rsidRPr="002659A3">
        <w:rPr>
          <w:sz w:val="22"/>
          <w:szCs w:val="22"/>
        </w:rPr>
        <w:t xml:space="preserve">its service delivery and digitalization policy </w:t>
      </w:r>
      <w:r w:rsidR="00695984" w:rsidRPr="002659A3">
        <w:rPr>
          <w:sz w:val="22"/>
          <w:szCs w:val="22"/>
        </w:rPr>
        <w:t>through Policy and Digital and Accessible Canada Act. An important part of these efforts is better sharing of government data so that the citizens do not have to provide multiple information to different administrative sources, while ensuring data security. In addition, t</w:t>
      </w:r>
      <w:r w:rsidR="005D3B69" w:rsidRPr="002659A3">
        <w:rPr>
          <w:sz w:val="22"/>
          <w:szCs w:val="22"/>
        </w:rPr>
        <w:t>he Canadian Gender Budgeting Act was introduced in 2019 ‘</w:t>
      </w:r>
      <w:r w:rsidR="005D3B69" w:rsidRPr="002659A3">
        <w:rPr>
          <w:i/>
          <w:sz w:val="22"/>
          <w:szCs w:val="22"/>
        </w:rPr>
        <w:t>Gender-Based Analysis</w:t>
      </w:r>
      <w:r w:rsidR="005D3B69" w:rsidRPr="002659A3">
        <w:rPr>
          <w:sz w:val="22"/>
          <w:szCs w:val="22"/>
        </w:rPr>
        <w:t>+</w:t>
      </w:r>
      <w:r w:rsidR="00695984" w:rsidRPr="002659A3">
        <w:rPr>
          <w:sz w:val="22"/>
          <w:szCs w:val="22"/>
        </w:rPr>
        <w:t>.</w:t>
      </w:r>
      <w:r w:rsidR="005D3B69" w:rsidRPr="002659A3">
        <w:rPr>
          <w:sz w:val="22"/>
          <w:szCs w:val="22"/>
        </w:rPr>
        <w:t xml:space="preserve"> </w:t>
      </w:r>
      <w:r w:rsidR="00695984" w:rsidRPr="002659A3">
        <w:rPr>
          <w:sz w:val="22"/>
          <w:szCs w:val="22"/>
        </w:rPr>
        <w:t>Surveys capturing user satisfaction started being conducted over a decade ago in Canada, howeve</w:t>
      </w:r>
      <w:r w:rsidR="00242356" w:rsidRPr="002659A3">
        <w:rPr>
          <w:sz w:val="22"/>
          <w:szCs w:val="22"/>
        </w:rPr>
        <w:t xml:space="preserve">r due to some survey fatigue, the efforts are now redirected towards more direct contact surveys and consultations, while indirect feedback and data is collected through web analytics and administrative data. </w:t>
      </w:r>
      <w:r w:rsidR="00897907" w:rsidRPr="002659A3">
        <w:rPr>
          <w:sz w:val="22"/>
          <w:szCs w:val="22"/>
        </w:rPr>
        <w:t xml:space="preserve">In 2017, Employment Insurance service Quality Review was conducted, recommending amore citizen-centric approach, adjustment of service standards using a strong performance measurement framework, identifying and addressing access issues, instilling a strong service culture, </w:t>
      </w:r>
      <w:r w:rsidR="00897907" w:rsidRPr="002659A3">
        <w:rPr>
          <w:sz w:val="22"/>
          <w:szCs w:val="22"/>
        </w:rPr>
        <w:lastRenderedPageBreak/>
        <w:t xml:space="preserve">revising the funding model, reviewing the policy to identify barriers preventing implementation of improvements to service quality, and simplifying the policy to improve service delivery and find economies. </w:t>
      </w:r>
      <w:r w:rsidR="005D3B69" w:rsidRPr="002659A3">
        <w:rPr>
          <w:sz w:val="22"/>
          <w:szCs w:val="22"/>
        </w:rPr>
        <w:t>A</w:t>
      </w:r>
      <w:r w:rsidR="00AD3279" w:rsidRPr="002659A3">
        <w:rPr>
          <w:sz w:val="22"/>
          <w:szCs w:val="22"/>
        </w:rPr>
        <w:t xml:space="preserve">n example of </w:t>
      </w:r>
      <w:r w:rsidR="00897907" w:rsidRPr="002659A3">
        <w:rPr>
          <w:sz w:val="22"/>
          <w:szCs w:val="22"/>
        </w:rPr>
        <w:t xml:space="preserve">simplification and improvement in service access is </w:t>
      </w:r>
      <w:r w:rsidR="005D3B69" w:rsidRPr="002659A3">
        <w:rPr>
          <w:sz w:val="22"/>
          <w:szCs w:val="22"/>
        </w:rPr>
        <w:t xml:space="preserve">increased the take up of child benefits </w:t>
      </w:r>
      <w:r w:rsidR="00897907" w:rsidRPr="002659A3">
        <w:rPr>
          <w:sz w:val="22"/>
          <w:szCs w:val="22"/>
        </w:rPr>
        <w:t xml:space="preserve">of the vulnerable and remote population groups by conducting over </w:t>
      </w:r>
      <w:r w:rsidR="00F068A4" w:rsidRPr="002659A3">
        <w:rPr>
          <w:sz w:val="22"/>
          <w:szCs w:val="22"/>
        </w:rPr>
        <w:t>700 remote visits</w:t>
      </w:r>
      <w:r w:rsidR="00897907" w:rsidRPr="002659A3">
        <w:rPr>
          <w:sz w:val="22"/>
          <w:szCs w:val="22"/>
        </w:rPr>
        <w:t xml:space="preserve"> and subsequently streamlining </w:t>
      </w:r>
      <w:r w:rsidR="005D3B69" w:rsidRPr="002659A3">
        <w:rPr>
          <w:sz w:val="22"/>
          <w:szCs w:val="22"/>
        </w:rPr>
        <w:t>access</w:t>
      </w:r>
      <w:r w:rsidR="00897907" w:rsidRPr="002659A3">
        <w:rPr>
          <w:sz w:val="22"/>
          <w:szCs w:val="22"/>
        </w:rPr>
        <w:t xml:space="preserve">. Canadian government has started using </w:t>
      </w:r>
      <w:r w:rsidR="00027CA6" w:rsidRPr="002659A3">
        <w:rPr>
          <w:sz w:val="22"/>
          <w:szCs w:val="22"/>
        </w:rPr>
        <w:t>a</w:t>
      </w:r>
      <w:r w:rsidR="005D3B69" w:rsidRPr="002659A3">
        <w:rPr>
          <w:sz w:val="22"/>
          <w:szCs w:val="22"/>
        </w:rPr>
        <w:t xml:space="preserve">uto-enrollment </w:t>
      </w:r>
      <w:r w:rsidR="00897907" w:rsidRPr="002659A3">
        <w:rPr>
          <w:sz w:val="22"/>
          <w:szCs w:val="22"/>
        </w:rPr>
        <w:t>for several services</w:t>
      </w:r>
      <w:r w:rsidR="00B75B2C" w:rsidRPr="002659A3">
        <w:rPr>
          <w:sz w:val="22"/>
          <w:szCs w:val="22"/>
        </w:rPr>
        <w:t xml:space="preserve"> and also uses</w:t>
      </w:r>
      <w:r w:rsidR="00897907" w:rsidRPr="002659A3">
        <w:rPr>
          <w:sz w:val="22"/>
          <w:szCs w:val="22"/>
        </w:rPr>
        <w:t xml:space="preserve"> </w:t>
      </w:r>
      <w:r w:rsidR="00B75B2C" w:rsidRPr="002659A3">
        <w:rPr>
          <w:sz w:val="22"/>
          <w:szCs w:val="22"/>
        </w:rPr>
        <w:t xml:space="preserve">the approach of </w:t>
      </w:r>
      <w:r w:rsidR="00897907" w:rsidRPr="002659A3">
        <w:rPr>
          <w:sz w:val="22"/>
          <w:szCs w:val="22"/>
        </w:rPr>
        <w:t>m</w:t>
      </w:r>
      <w:r w:rsidR="00B75B2C" w:rsidRPr="002659A3">
        <w:rPr>
          <w:sz w:val="22"/>
          <w:szCs w:val="22"/>
        </w:rPr>
        <w:t>e</w:t>
      </w:r>
      <w:r w:rsidR="00897907" w:rsidRPr="002659A3">
        <w:rPr>
          <w:sz w:val="22"/>
          <w:szCs w:val="22"/>
        </w:rPr>
        <w:t>rgin</w:t>
      </w:r>
      <w:r w:rsidR="00B75B2C" w:rsidRPr="002659A3">
        <w:rPr>
          <w:sz w:val="22"/>
          <w:szCs w:val="22"/>
        </w:rPr>
        <w:t xml:space="preserve">g </w:t>
      </w:r>
      <w:r w:rsidR="005D3B69" w:rsidRPr="002659A3">
        <w:rPr>
          <w:sz w:val="22"/>
          <w:szCs w:val="22"/>
        </w:rPr>
        <w:t>services (e</w:t>
      </w:r>
      <w:r w:rsidR="00027CA6" w:rsidRPr="002659A3">
        <w:rPr>
          <w:sz w:val="22"/>
          <w:szCs w:val="22"/>
        </w:rPr>
        <w:t>.</w:t>
      </w:r>
      <w:r w:rsidR="005D3B69" w:rsidRPr="002659A3">
        <w:rPr>
          <w:sz w:val="22"/>
          <w:szCs w:val="22"/>
        </w:rPr>
        <w:t>g</w:t>
      </w:r>
      <w:r w:rsidR="00027CA6" w:rsidRPr="002659A3">
        <w:rPr>
          <w:sz w:val="22"/>
          <w:szCs w:val="22"/>
        </w:rPr>
        <w:t>.</w:t>
      </w:r>
      <w:r w:rsidR="005D3B69" w:rsidRPr="002659A3">
        <w:rPr>
          <w:sz w:val="22"/>
          <w:szCs w:val="22"/>
        </w:rPr>
        <w:t xml:space="preserve"> data requests and benefit assessment</w:t>
      </w:r>
      <w:r w:rsidR="00027CA6" w:rsidRPr="002659A3">
        <w:rPr>
          <w:sz w:val="22"/>
          <w:szCs w:val="22"/>
        </w:rPr>
        <w:t>s are undertaken</w:t>
      </w:r>
      <w:r w:rsidR="005D3B69" w:rsidRPr="002659A3">
        <w:rPr>
          <w:sz w:val="22"/>
          <w:szCs w:val="22"/>
        </w:rPr>
        <w:t xml:space="preserve"> within the annual tax return</w:t>
      </w:r>
      <w:r w:rsidR="005C6212" w:rsidRPr="002659A3">
        <w:rPr>
          <w:sz w:val="22"/>
          <w:szCs w:val="22"/>
        </w:rPr>
        <w:t xml:space="preserve"> process</w:t>
      </w:r>
      <w:r w:rsidR="005D3B69" w:rsidRPr="002659A3">
        <w:rPr>
          <w:sz w:val="22"/>
          <w:szCs w:val="22"/>
        </w:rPr>
        <w:t xml:space="preserve">). </w:t>
      </w:r>
    </w:p>
    <w:p w14:paraId="39A6145F" w14:textId="3E7AFA4E" w:rsidR="006A4FAB" w:rsidRPr="002659A3" w:rsidRDefault="00B75B2C" w:rsidP="00EF53AE">
      <w:pPr>
        <w:spacing w:afterLines="80" w:after="192"/>
        <w:jc w:val="both"/>
        <w:rPr>
          <w:sz w:val="22"/>
          <w:szCs w:val="22"/>
        </w:rPr>
      </w:pPr>
      <w:r w:rsidRPr="002659A3">
        <w:rPr>
          <w:sz w:val="22"/>
          <w:szCs w:val="22"/>
        </w:rPr>
        <w:t>It is important to take into account that access and simplicity or complexity of accessing a service is connected to service quality and that the service cost must also be considered from the perspective of value to citizens as opposed to financial costs only.</w:t>
      </w:r>
      <w:r w:rsidR="006A4FAB" w:rsidRPr="002659A3">
        <w:rPr>
          <w:sz w:val="22"/>
          <w:szCs w:val="22"/>
        </w:rPr>
        <w:t xml:space="preserve"> Moreover, performance metrics needs to be informed by a broader frame, taking into account the whole policy-program-delivery continuum, including both design and delivery. It is important to ensure interlinkages among all of these stages and among different institutions. Another </w:t>
      </w:r>
      <w:r w:rsidR="005D3B69" w:rsidRPr="002659A3">
        <w:rPr>
          <w:sz w:val="22"/>
          <w:szCs w:val="22"/>
        </w:rPr>
        <w:t>key challenge</w:t>
      </w:r>
      <w:r w:rsidR="006A4FAB" w:rsidRPr="002659A3">
        <w:rPr>
          <w:sz w:val="22"/>
          <w:szCs w:val="22"/>
        </w:rPr>
        <w:t xml:space="preserve"> is getting the most adequate high-quality data while simultaneous focusing on a limited number of indicators, as opposed to “drowning” in too many performance indicators that are not useful for decision-making. Canada </w:t>
      </w:r>
      <w:r w:rsidR="00793188" w:rsidRPr="002659A3">
        <w:rPr>
          <w:sz w:val="22"/>
          <w:szCs w:val="22"/>
        </w:rPr>
        <w:t xml:space="preserve">focuses on innovation for policy improvement to integrate existing knowledge, such as evaluation evidence, to support improvement through continuous learning and adaptation. The focus should be on using performance information for learning and improvement as opposed to numerical values of performance indicators targets and sanction and reward system. Experimentation and behavioral economics approaches are also started to be used for policy evaluation and design. </w:t>
      </w:r>
    </w:p>
    <w:p w14:paraId="5B162F4B" w14:textId="56B959F5" w:rsidR="008C28B4" w:rsidRPr="002659A3" w:rsidRDefault="008C28B4" w:rsidP="00743E60">
      <w:pPr>
        <w:pStyle w:val="Heading1"/>
        <w:numPr>
          <w:ilvl w:val="0"/>
          <w:numId w:val="47"/>
        </w:numPr>
        <w:spacing w:before="0" w:afterLines="80" w:after="192" w:line="240" w:lineRule="auto"/>
        <w:ind w:left="450"/>
        <w:rPr>
          <w:rFonts w:ascii="Times New Roman" w:eastAsia="Times New Roman" w:hAnsi="Times New Roman" w:cs="Times New Roman"/>
          <w:b/>
          <w:sz w:val="22"/>
          <w:szCs w:val="22"/>
          <w:lang w:eastAsia="bs-Latn-BA"/>
        </w:rPr>
      </w:pPr>
      <w:bookmarkStart w:id="11" w:name="_Toc24897634"/>
      <w:r w:rsidRPr="002659A3">
        <w:rPr>
          <w:rFonts w:ascii="Times New Roman" w:eastAsia="Times New Roman" w:hAnsi="Times New Roman" w:cs="Times New Roman"/>
          <w:b/>
          <w:sz w:val="22"/>
          <w:szCs w:val="22"/>
          <w:lang w:eastAsia="bs-Latn-BA"/>
        </w:rPr>
        <w:t>Spending Reviews: Methodology and Process in Advance</w:t>
      </w:r>
      <w:r w:rsidR="005F726F" w:rsidRPr="002659A3">
        <w:rPr>
          <w:rFonts w:ascii="Times New Roman" w:eastAsia="Times New Roman" w:hAnsi="Times New Roman" w:cs="Times New Roman"/>
          <w:b/>
          <w:sz w:val="22"/>
          <w:szCs w:val="22"/>
          <w:lang w:eastAsia="bs-Latn-BA"/>
        </w:rPr>
        <w:t>d</w:t>
      </w:r>
      <w:r w:rsidRPr="002659A3">
        <w:rPr>
          <w:rFonts w:ascii="Times New Roman" w:eastAsia="Times New Roman" w:hAnsi="Times New Roman" w:cs="Times New Roman"/>
          <w:b/>
          <w:sz w:val="22"/>
          <w:szCs w:val="22"/>
          <w:lang w:eastAsia="bs-Latn-BA"/>
        </w:rPr>
        <w:t xml:space="preserve"> Countries</w:t>
      </w:r>
      <w:bookmarkEnd w:id="11"/>
    </w:p>
    <w:p w14:paraId="5A49F3C4" w14:textId="0C2D3F11" w:rsidR="008C28B4" w:rsidRPr="002659A3" w:rsidRDefault="008C28B4" w:rsidP="00C53AA5">
      <w:pPr>
        <w:spacing w:afterLines="80" w:after="192"/>
        <w:jc w:val="both"/>
        <w:rPr>
          <w:iCs/>
          <w:color w:val="222222"/>
          <w:sz w:val="22"/>
          <w:szCs w:val="22"/>
          <w:shd w:val="clear" w:color="auto" w:fill="FFFFFF"/>
        </w:rPr>
      </w:pPr>
      <w:r w:rsidRPr="002659A3">
        <w:rPr>
          <w:bCs/>
          <w:iCs/>
          <w:color w:val="222222"/>
          <w:sz w:val="22"/>
          <w:szCs w:val="22"/>
          <w:shd w:val="clear" w:color="auto" w:fill="FFFFFF"/>
        </w:rPr>
        <w:t>On the topic of</w:t>
      </w:r>
      <w:r w:rsidRPr="002659A3">
        <w:rPr>
          <w:iCs/>
          <w:color w:val="222222"/>
          <w:sz w:val="22"/>
          <w:szCs w:val="22"/>
          <w:shd w:val="clear" w:color="auto" w:fill="FFFFFF"/>
        </w:rPr>
        <w:t xml:space="preserve"> technical methodology and process for spending reviews, presentations were delivered by </w:t>
      </w:r>
      <w:r w:rsidR="00805EA1" w:rsidRPr="002659A3">
        <w:rPr>
          <w:iCs/>
          <w:color w:val="222222"/>
          <w:sz w:val="22"/>
          <w:szCs w:val="22"/>
          <w:shd w:val="clear" w:color="auto" w:fill="FFFFFF"/>
        </w:rPr>
        <w:t xml:space="preserve">the </w:t>
      </w:r>
      <w:r w:rsidRPr="002659A3">
        <w:rPr>
          <w:b/>
          <w:iCs/>
          <w:color w:val="222222"/>
          <w:sz w:val="22"/>
          <w:szCs w:val="22"/>
          <w:shd w:val="clear" w:color="auto" w:fill="FFFFFF"/>
        </w:rPr>
        <w:t>World Bank</w:t>
      </w:r>
      <w:r w:rsidRPr="002659A3">
        <w:rPr>
          <w:iCs/>
          <w:color w:val="222222"/>
          <w:sz w:val="22"/>
          <w:szCs w:val="22"/>
          <w:shd w:val="clear" w:color="auto" w:fill="FFFFFF"/>
        </w:rPr>
        <w:t xml:space="preserve"> (Ivor Beazle</w:t>
      </w:r>
      <w:r w:rsidR="00C073EC" w:rsidRPr="002659A3">
        <w:rPr>
          <w:iCs/>
          <w:color w:val="222222"/>
          <w:sz w:val="22"/>
          <w:szCs w:val="22"/>
          <w:shd w:val="clear" w:color="auto" w:fill="FFFFFF"/>
        </w:rPr>
        <w:t>y)</w:t>
      </w:r>
      <w:r w:rsidRPr="002659A3">
        <w:rPr>
          <w:b/>
          <w:iCs/>
          <w:color w:val="222222"/>
          <w:sz w:val="22"/>
          <w:szCs w:val="22"/>
          <w:shd w:val="clear" w:color="auto" w:fill="FFFFFF"/>
        </w:rPr>
        <w:t xml:space="preserve">, Italy </w:t>
      </w:r>
      <w:r w:rsidRPr="002659A3">
        <w:rPr>
          <w:iCs/>
          <w:color w:val="222222"/>
          <w:sz w:val="22"/>
          <w:szCs w:val="22"/>
          <w:shd w:val="clear" w:color="auto" w:fill="FFFFFF"/>
        </w:rPr>
        <w:t xml:space="preserve">(Aline Pennisi), </w:t>
      </w:r>
      <w:r w:rsidRPr="002659A3">
        <w:rPr>
          <w:b/>
          <w:iCs/>
          <w:color w:val="222222"/>
          <w:sz w:val="22"/>
          <w:szCs w:val="22"/>
          <w:shd w:val="clear" w:color="auto" w:fill="FFFFFF"/>
        </w:rPr>
        <w:t xml:space="preserve">Ireland </w:t>
      </w:r>
      <w:r w:rsidRPr="002659A3">
        <w:rPr>
          <w:iCs/>
          <w:color w:val="222222"/>
          <w:sz w:val="22"/>
          <w:szCs w:val="22"/>
          <w:shd w:val="clear" w:color="auto" w:fill="FFFFFF"/>
        </w:rPr>
        <w:t xml:space="preserve">(John Burke, and Pádraic Reidy,) with </w:t>
      </w:r>
      <w:r w:rsidRPr="002659A3">
        <w:rPr>
          <w:b/>
          <w:iCs/>
          <w:color w:val="222222"/>
          <w:sz w:val="22"/>
          <w:szCs w:val="22"/>
          <w:shd w:val="clear" w:color="auto" w:fill="FFFFFF"/>
        </w:rPr>
        <w:t>panel responses</w:t>
      </w:r>
      <w:r w:rsidRPr="002659A3">
        <w:rPr>
          <w:iCs/>
          <w:color w:val="222222"/>
          <w:sz w:val="22"/>
          <w:szCs w:val="22"/>
          <w:shd w:val="clear" w:color="auto" w:fill="FFFFFF"/>
        </w:rPr>
        <w:t xml:space="preserve"> provided by </w:t>
      </w:r>
      <w:r w:rsidRPr="002659A3">
        <w:rPr>
          <w:b/>
          <w:iCs/>
          <w:color w:val="222222"/>
          <w:sz w:val="22"/>
          <w:szCs w:val="22"/>
          <w:shd w:val="clear" w:color="auto" w:fill="FFFFFF"/>
        </w:rPr>
        <w:t xml:space="preserve">Bulgaria </w:t>
      </w:r>
      <w:r w:rsidRPr="002659A3">
        <w:rPr>
          <w:iCs/>
          <w:color w:val="222222"/>
          <w:sz w:val="22"/>
          <w:szCs w:val="22"/>
          <w:shd w:val="clear" w:color="auto" w:fill="FFFFFF"/>
        </w:rPr>
        <w:t xml:space="preserve">(Emil Nurgaliev), </w:t>
      </w:r>
      <w:r w:rsidRPr="002659A3">
        <w:rPr>
          <w:b/>
          <w:iCs/>
          <w:color w:val="222222"/>
          <w:sz w:val="22"/>
          <w:szCs w:val="22"/>
          <w:shd w:val="clear" w:color="auto" w:fill="FFFFFF"/>
        </w:rPr>
        <w:t>Croatia</w:t>
      </w:r>
      <w:r w:rsidRPr="002659A3">
        <w:rPr>
          <w:iCs/>
          <w:color w:val="222222"/>
          <w:sz w:val="22"/>
          <w:szCs w:val="22"/>
          <w:shd w:val="clear" w:color="auto" w:fill="FFFFFF"/>
        </w:rPr>
        <w:t xml:space="preserve"> (Mladenka Karacic) and </w:t>
      </w:r>
      <w:r w:rsidR="00805EA1" w:rsidRPr="002659A3">
        <w:rPr>
          <w:iCs/>
          <w:color w:val="222222"/>
          <w:sz w:val="22"/>
          <w:szCs w:val="22"/>
          <w:shd w:val="clear" w:color="auto" w:fill="FFFFFF"/>
        </w:rPr>
        <w:t xml:space="preserve">the </w:t>
      </w:r>
      <w:r w:rsidRPr="002659A3">
        <w:rPr>
          <w:b/>
          <w:iCs/>
          <w:color w:val="222222"/>
          <w:sz w:val="22"/>
          <w:szCs w:val="22"/>
          <w:shd w:val="clear" w:color="auto" w:fill="FFFFFF"/>
        </w:rPr>
        <w:t>World Bank</w:t>
      </w:r>
      <w:r w:rsidRPr="002659A3">
        <w:rPr>
          <w:iCs/>
          <w:color w:val="222222"/>
          <w:sz w:val="22"/>
          <w:szCs w:val="22"/>
          <w:shd w:val="clear" w:color="auto" w:fill="FFFFFF"/>
        </w:rPr>
        <w:t xml:space="preserve"> (Saki Kumagai).  </w:t>
      </w:r>
    </w:p>
    <w:p w14:paraId="2CC5C00B" w14:textId="14D41E10" w:rsidR="005F726F" w:rsidRPr="002659A3" w:rsidRDefault="005F726F" w:rsidP="005F726F">
      <w:pPr>
        <w:pStyle w:val="Heading1"/>
        <w:spacing w:before="0" w:afterLines="80" w:after="192" w:line="240" w:lineRule="auto"/>
        <w:rPr>
          <w:rFonts w:ascii="Times New Roman" w:hAnsi="Times New Roman" w:cs="Times New Roman"/>
          <w:b/>
          <w:bCs/>
          <w:color w:val="538135" w:themeColor="accent6" w:themeShade="BF"/>
          <w:sz w:val="22"/>
          <w:szCs w:val="22"/>
        </w:rPr>
      </w:pPr>
      <w:bookmarkStart w:id="12" w:name="_Toc24897635"/>
      <w:r w:rsidRPr="002659A3">
        <w:rPr>
          <w:rFonts w:ascii="Times New Roman" w:hAnsi="Times New Roman" w:cs="Times New Roman"/>
          <w:b/>
          <w:bCs/>
          <w:color w:val="538135" w:themeColor="accent6" w:themeShade="BF"/>
          <w:sz w:val="22"/>
          <w:szCs w:val="22"/>
        </w:rPr>
        <w:t>How Does the World Bank Conducts Its Public Expenditure Reviews?</w:t>
      </w:r>
      <w:bookmarkEnd w:id="12"/>
    </w:p>
    <w:p w14:paraId="28F6756C" w14:textId="42F01A99" w:rsidR="00536F4B" w:rsidRPr="002659A3" w:rsidRDefault="00C461E2" w:rsidP="00536F4B">
      <w:pPr>
        <w:spacing w:afterLines="80" w:after="192"/>
        <w:jc w:val="both"/>
        <w:rPr>
          <w:sz w:val="22"/>
          <w:szCs w:val="22"/>
        </w:rPr>
      </w:pPr>
      <w:r w:rsidRPr="002659A3">
        <w:rPr>
          <w:b/>
          <w:sz w:val="22"/>
          <w:szCs w:val="22"/>
        </w:rPr>
        <w:t>Ivor Beazley, Senior Public Sector Specialist, World Bank presented the World Bank experience and advice for conducting Public Expenditure Reviews</w:t>
      </w:r>
      <w:r w:rsidR="003C7292" w:rsidRPr="002659A3">
        <w:rPr>
          <w:b/>
          <w:sz w:val="22"/>
          <w:szCs w:val="22"/>
        </w:rPr>
        <w:t xml:space="preserve"> (PER)</w:t>
      </w:r>
      <w:r w:rsidRPr="002659A3">
        <w:rPr>
          <w:b/>
          <w:sz w:val="22"/>
          <w:szCs w:val="22"/>
        </w:rPr>
        <w:t>.</w:t>
      </w:r>
      <w:r w:rsidRPr="002659A3">
        <w:rPr>
          <w:sz w:val="22"/>
          <w:szCs w:val="22"/>
        </w:rPr>
        <w:t xml:space="preserve">  He presented</w:t>
      </w:r>
      <w:r w:rsidR="003C7292" w:rsidRPr="002659A3">
        <w:rPr>
          <w:sz w:val="22"/>
          <w:szCs w:val="22"/>
        </w:rPr>
        <w:t xml:space="preserve"> </w:t>
      </w:r>
      <w:r w:rsidR="00C073EC" w:rsidRPr="002659A3">
        <w:rPr>
          <w:sz w:val="22"/>
          <w:szCs w:val="22"/>
        </w:rPr>
        <w:t xml:space="preserve">PER </w:t>
      </w:r>
      <w:r w:rsidR="00BF4500" w:rsidRPr="002659A3">
        <w:rPr>
          <w:sz w:val="22"/>
          <w:szCs w:val="22"/>
        </w:rPr>
        <w:t>objectives</w:t>
      </w:r>
      <w:r w:rsidR="00C073EC" w:rsidRPr="002659A3">
        <w:rPr>
          <w:sz w:val="22"/>
          <w:szCs w:val="22"/>
        </w:rPr>
        <w:t xml:space="preserve">; </w:t>
      </w:r>
      <w:r w:rsidR="00BF4500" w:rsidRPr="002659A3">
        <w:rPr>
          <w:sz w:val="22"/>
          <w:szCs w:val="22"/>
        </w:rPr>
        <w:t>scope</w:t>
      </w:r>
      <w:r w:rsidR="00C073EC" w:rsidRPr="002659A3">
        <w:rPr>
          <w:sz w:val="22"/>
          <w:szCs w:val="22"/>
        </w:rPr>
        <w:t xml:space="preserve"> and focus areas;</w:t>
      </w:r>
      <w:r w:rsidR="00BF4500" w:rsidRPr="002659A3">
        <w:rPr>
          <w:sz w:val="22"/>
          <w:szCs w:val="22"/>
        </w:rPr>
        <w:t xml:space="preserve"> process</w:t>
      </w:r>
      <w:r w:rsidR="00C073EC" w:rsidRPr="002659A3">
        <w:rPr>
          <w:sz w:val="22"/>
          <w:szCs w:val="22"/>
        </w:rPr>
        <w:t xml:space="preserve"> and </w:t>
      </w:r>
      <w:r w:rsidRPr="002659A3">
        <w:rPr>
          <w:sz w:val="22"/>
          <w:szCs w:val="22"/>
        </w:rPr>
        <w:t>analytical methods</w:t>
      </w:r>
      <w:r w:rsidR="00C073EC" w:rsidRPr="002659A3">
        <w:rPr>
          <w:sz w:val="22"/>
          <w:szCs w:val="22"/>
        </w:rPr>
        <w:t xml:space="preserve">; </w:t>
      </w:r>
      <w:r w:rsidRPr="002659A3">
        <w:rPr>
          <w:sz w:val="22"/>
          <w:szCs w:val="22"/>
        </w:rPr>
        <w:t>good practices</w:t>
      </w:r>
      <w:r w:rsidR="00C073EC" w:rsidRPr="002659A3">
        <w:rPr>
          <w:sz w:val="22"/>
          <w:szCs w:val="22"/>
        </w:rPr>
        <w:t xml:space="preserve"> and limitations; and comparison with spending reviews as per OECD definition</w:t>
      </w:r>
      <w:r w:rsidR="00E77019" w:rsidRPr="002659A3">
        <w:rPr>
          <w:rStyle w:val="FootnoteReference"/>
          <w:sz w:val="22"/>
          <w:szCs w:val="22"/>
        </w:rPr>
        <w:footnoteReference w:id="9"/>
      </w:r>
      <w:r w:rsidRPr="002659A3">
        <w:rPr>
          <w:sz w:val="22"/>
          <w:szCs w:val="22"/>
        </w:rPr>
        <w:t xml:space="preserve">.  PER is a core diagnostic </w:t>
      </w:r>
      <w:r w:rsidR="00C073EC" w:rsidRPr="002659A3">
        <w:rPr>
          <w:sz w:val="22"/>
          <w:szCs w:val="22"/>
        </w:rPr>
        <w:t xml:space="preserve">tool </w:t>
      </w:r>
      <w:r w:rsidRPr="002659A3">
        <w:rPr>
          <w:sz w:val="22"/>
          <w:szCs w:val="22"/>
        </w:rPr>
        <w:t xml:space="preserve">to evaluate public finance and inform future budget spending decisions. </w:t>
      </w:r>
      <w:r w:rsidR="00C073EC" w:rsidRPr="002659A3">
        <w:rPr>
          <w:sz w:val="22"/>
          <w:szCs w:val="22"/>
        </w:rPr>
        <w:t xml:space="preserve">It is a flexible tool responding to government needs and priorities and it analyzes expenditure over a period of time to assess consistency with policy priorities and the results achieved. </w:t>
      </w:r>
      <w:r w:rsidR="00536F4B" w:rsidRPr="002659A3">
        <w:rPr>
          <w:sz w:val="22"/>
          <w:szCs w:val="22"/>
        </w:rPr>
        <w:t xml:space="preserve">PERs typically begin by focusing on higher level issues of the government overall fiscal position; the aggregate level and structure of public expenditures and revenues, and fiscal balances; and consistency of fiscal policy with the country’s macroeconomic framework and fiscal sustainability. They next usually focus on spending key sectors. In contrast, spending reviews as per OECD definition typically focus mainly on how to improve economy and efficiency of spending at sector level and where to make </w:t>
      </w:r>
      <w:r w:rsidR="00DD32B1" w:rsidRPr="002659A3">
        <w:rPr>
          <w:sz w:val="22"/>
          <w:szCs w:val="22"/>
        </w:rPr>
        <w:t xml:space="preserve">short-term </w:t>
      </w:r>
      <w:r w:rsidR="00536F4B" w:rsidRPr="002659A3">
        <w:rPr>
          <w:sz w:val="22"/>
          <w:szCs w:val="22"/>
        </w:rPr>
        <w:t xml:space="preserve">savings. Unlike typical OECD spending reviews, PERS also often look at the institutional architecture, including regulatory frameworks and systems for management of revenues and expenditure, and their effect on achieving key fiscal policy objectives. Moreover, while both typical spending reviews and PERs focus strongly on efficiency and effectiveness of spending, typical spending reviews have a strong focus on economy (i.e. how to minimize costs), while PERs focus on equitable access to services, poverty reduction and impact on economic growth. </w:t>
      </w:r>
    </w:p>
    <w:p w14:paraId="4BC4085E" w14:textId="78CF20CD" w:rsidR="001E3853" w:rsidRPr="002659A3" w:rsidRDefault="00536F4B" w:rsidP="001E3853">
      <w:pPr>
        <w:spacing w:afterLines="80" w:after="192"/>
        <w:jc w:val="both"/>
        <w:rPr>
          <w:sz w:val="22"/>
          <w:szCs w:val="22"/>
        </w:rPr>
      </w:pPr>
      <w:r w:rsidRPr="002659A3">
        <w:rPr>
          <w:sz w:val="22"/>
          <w:szCs w:val="22"/>
        </w:rPr>
        <w:lastRenderedPageBreak/>
        <w:t xml:space="preserve">Mr. Beazley gave an overview of PER </w:t>
      </w:r>
      <w:r w:rsidR="00805EA1" w:rsidRPr="002659A3">
        <w:rPr>
          <w:sz w:val="22"/>
          <w:szCs w:val="22"/>
        </w:rPr>
        <w:t xml:space="preserve">delivered </w:t>
      </w:r>
      <w:r w:rsidRPr="002659A3">
        <w:rPr>
          <w:sz w:val="22"/>
          <w:szCs w:val="22"/>
        </w:rPr>
        <w:t>across regions, noting that PERs in ECA region have had a predominantly fiscal focus</w:t>
      </w:r>
      <w:r w:rsidR="004A271C" w:rsidRPr="002659A3">
        <w:rPr>
          <w:sz w:val="22"/>
          <w:szCs w:val="22"/>
        </w:rPr>
        <w:t>, but also covered spending in a number of sectors that are of special interest to governments. PER process and methodology are the product of a of a dialogue on macro-economic and sectoral issues between the World Bank and national authorities</w:t>
      </w:r>
      <w:r w:rsidR="00782CD3" w:rsidRPr="002659A3">
        <w:rPr>
          <w:sz w:val="22"/>
          <w:szCs w:val="22"/>
        </w:rPr>
        <w:t xml:space="preserve">, </w:t>
      </w:r>
      <w:r w:rsidR="004A271C" w:rsidRPr="002659A3">
        <w:rPr>
          <w:sz w:val="22"/>
          <w:szCs w:val="22"/>
        </w:rPr>
        <w:t>and PERs are typically conducted over a longer period compared to typical spending reviews, which are usually under the time pressure to fit into the budget cycle. PER recommendations tend to be more policy oriented and it is up to the Ministries of Finance and line ministries to decide on implementation. Examples of PERs in Belarus, Tajikistan, Armenia</w:t>
      </w:r>
      <w:r w:rsidR="0084028E" w:rsidRPr="002659A3">
        <w:rPr>
          <w:sz w:val="22"/>
          <w:szCs w:val="22"/>
        </w:rPr>
        <w:t>, Moldova</w:t>
      </w:r>
      <w:r w:rsidR="00DD32B1" w:rsidRPr="002659A3">
        <w:rPr>
          <w:sz w:val="22"/>
          <w:szCs w:val="22"/>
        </w:rPr>
        <w:t>, and Serbia</w:t>
      </w:r>
      <w:r w:rsidR="0084028E" w:rsidRPr="002659A3">
        <w:rPr>
          <w:sz w:val="22"/>
          <w:szCs w:val="22"/>
        </w:rPr>
        <w:t xml:space="preserve"> </w:t>
      </w:r>
      <w:r w:rsidR="004A271C" w:rsidRPr="002659A3">
        <w:rPr>
          <w:sz w:val="22"/>
          <w:szCs w:val="22"/>
        </w:rPr>
        <w:t>were given</w:t>
      </w:r>
      <w:r w:rsidR="0084028E" w:rsidRPr="002659A3">
        <w:rPr>
          <w:sz w:val="22"/>
          <w:szCs w:val="22"/>
        </w:rPr>
        <w:t>, noting that PER recommendations mostly relate to changes in policy, operations, and strategic shifts in resource allocation, rather than quantified savings or changes in allocations; thus</w:t>
      </w:r>
      <w:r w:rsidR="00DD32B1" w:rsidRPr="002659A3">
        <w:rPr>
          <w:sz w:val="22"/>
          <w:szCs w:val="22"/>
        </w:rPr>
        <w:t>,</w:t>
      </w:r>
      <w:r w:rsidR="001E3853" w:rsidRPr="002659A3">
        <w:rPr>
          <w:sz w:val="22"/>
          <w:szCs w:val="22"/>
        </w:rPr>
        <w:t xml:space="preserve"> </w:t>
      </w:r>
      <w:r w:rsidR="0084028E" w:rsidRPr="002659A3">
        <w:rPr>
          <w:sz w:val="22"/>
          <w:szCs w:val="22"/>
        </w:rPr>
        <w:t>being a primarily advisory rather than an operational tool.</w:t>
      </w:r>
      <w:r w:rsidR="001E3853" w:rsidRPr="002659A3">
        <w:rPr>
          <w:sz w:val="22"/>
          <w:szCs w:val="22"/>
        </w:rPr>
        <w:t xml:space="preserve"> In terms of analytical methods, PERs use a range of economic tools, ranging from simple unit cost analysis to regression analysis combining budget and operational data, to more complex econometric techniques such as Computable General equilibriu</w:t>
      </w:r>
      <w:r w:rsidR="00DD32B1" w:rsidRPr="002659A3">
        <w:rPr>
          <w:sz w:val="22"/>
          <w:szCs w:val="22"/>
        </w:rPr>
        <w:t xml:space="preserve">m and </w:t>
      </w:r>
      <w:r w:rsidR="00EA0448" w:rsidRPr="002659A3">
        <w:rPr>
          <w:sz w:val="22"/>
          <w:szCs w:val="22"/>
        </w:rPr>
        <w:t>D</w:t>
      </w:r>
      <w:r w:rsidR="001E3853" w:rsidRPr="002659A3">
        <w:rPr>
          <w:sz w:val="22"/>
          <w:szCs w:val="22"/>
        </w:rPr>
        <w:t xml:space="preserve">ata </w:t>
      </w:r>
      <w:r w:rsidR="00EA0448" w:rsidRPr="002659A3">
        <w:rPr>
          <w:sz w:val="22"/>
          <w:szCs w:val="22"/>
        </w:rPr>
        <w:t>E</w:t>
      </w:r>
      <w:r w:rsidR="001E3853" w:rsidRPr="002659A3">
        <w:rPr>
          <w:sz w:val="22"/>
          <w:szCs w:val="22"/>
        </w:rPr>
        <w:t xml:space="preserve">nvelope </w:t>
      </w:r>
      <w:r w:rsidR="00DD32B1" w:rsidRPr="002659A3">
        <w:rPr>
          <w:sz w:val="22"/>
          <w:szCs w:val="22"/>
        </w:rPr>
        <w:t>A</w:t>
      </w:r>
      <w:r w:rsidR="001E3853" w:rsidRPr="002659A3">
        <w:rPr>
          <w:sz w:val="22"/>
          <w:szCs w:val="22"/>
        </w:rPr>
        <w:t>nalyses</w:t>
      </w:r>
      <w:r w:rsidR="00DD32B1" w:rsidRPr="002659A3">
        <w:rPr>
          <w:sz w:val="22"/>
          <w:szCs w:val="22"/>
        </w:rPr>
        <w:t xml:space="preserve">, and innovative approaches such as Geographical Information System and BOOST framework (used in 14 countries now). </w:t>
      </w:r>
      <w:r w:rsidR="001E3853" w:rsidRPr="002659A3">
        <w:rPr>
          <w:sz w:val="22"/>
          <w:szCs w:val="22"/>
        </w:rPr>
        <w:t xml:space="preserve">They can bring together budget and performance data (e.g. education outcomes, poverty data, or business survey data) in regression analyses to assess the policy impact. </w:t>
      </w:r>
      <w:r w:rsidR="00B10FCF" w:rsidRPr="002659A3">
        <w:rPr>
          <w:sz w:val="22"/>
          <w:szCs w:val="22"/>
        </w:rPr>
        <w:t xml:space="preserve">Other trends in PERs include coverage of both national and subnational level, focus on variability of spending and performance across local governments. Limited availability of good survey data is a typical limitation to PERs, in addition to previously mentioned limitations related to timeliness in relation to budget cycle, political economy challenges, and dependence of recommendation implementation on the government. </w:t>
      </w:r>
    </w:p>
    <w:p w14:paraId="027D3CC2" w14:textId="6A5CE944" w:rsidR="005F726F" w:rsidRPr="002659A3" w:rsidRDefault="005F726F" w:rsidP="005F726F">
      <w:pPr>
        <w:pStyle w:val="Heading1"/>
        <w:spacing w:before="0" w:afterLines="80" w:after="192" w:line="240" w:lineRule="auto"/>
        <w:rPr>
          <w:rFonts w:ascii="Times New Roman" w:hAnsi="Times New Roman" w:cs="Times New Roman"/>
          <w:b/>
          <w:bCs/>
          <w:color w:val="538135" w:themeColor="accent6" w:themeShade="BF"/>
          <w:sz w:val="22"/>
          <w:szCs w:val="22"/>
        </w:rPr>
      </w:pPr>
      <w:bookmarkStart w:id="14" w:name="_Toc24897636"/>
      <w:r w:rsidRPr="002659A3">
        <w:rPr>
          <w:rFonts w:ascii="Times New Roman" w:hAnsi="Times New Roman" w:cs="Times New Roman"/>
          <w:b/>
          <w:bCs/>
          <w:color w:val="538135" w:themeColor="accent6" w:themeShade="BF"/>
          <w:sz w:val="22"/>
          <w:szCs w:val="22"/>
        </w:rPr>
        <w:t>What Are the Lessons Learned from the Italian Experiences in Spending Reviews?</w:t>
      </w:r>
      <w:bookmarkEnd w:id="14"/>
      <w:r w:rsidRPr="002659A3">
        <w:rPr>
          <w:rFonts w:ascii="Times New Roman" w:hAnsi="Times New Roman" w:cs="Times New Roman"/>
          <w:b/>
          <w:bCs/>
          <w:color w:val="538135" w:themeColor="accent6" w:themeShade="BF"/>
          <w:sz w:val="22"/>
          <w:szCs w:val="22"/>
        </w:rPr>
        <w:t xml:space="preserve"> </w:t>
      </w:r>
    </w:p>
    <w:p w14:paraId="4E4C4FFA" w14:textId="3FB2DC18" w:rsidR="004472EF" w:rsidRPr="002659A3" w:rsidRDefault="009E3A06" w:rsidP="004472EF">
      <w:pPr>
        <w:tabs>
          <w:tab w:val="num" w:pos="1440"/>
        </w:tabs>
        <w:spacing w:afterLines="80" w:after="192"/>
        <w:jc w:val="both"/>
        <w:rPr>
          <w:sz w:val="22"/>
          <w:szCs w:val="22"/>
        </w:rPr>
      </w:pPr>
      <w:r w:rsidRPr="002659A3">
        <w:rPr>
          <w:b/>
          <w:sz w:val="22"/>
          <w:szCs w:val="22"/>
        </w:rPr>
        <w:t xml:space="preserve">Aline Pennisi, </w:t>
      </w:r>
      <w:r w:rsidR="0013669E" w:rsidRPr="002659A3">
        <w:rPr>
          <w:b/>
          <w:sz w:val="22"/>
          <w:szCs w:val="22"/>
        </w:rPr>
        <w:t xml:space="preserve">presented </w:t>
      </w:r>
      <w:r w:rsidRPr="002659A3">
        <w:rPr>
          <w:b/>
          <w:sz w:val="22"/>
          <w:szCs w:val="22"/>
        </w:rPr>
        <w:t>the</w:t>
      </w:r>
      <w:r w:rsidR="0013669E" w:rsidRPr="002659A3">
        <w:rPr>
          <w:b/>
          <w:sz w:val="22"/>
          <w:szCs w:val="22"/>
        </w:rPr>
        <w:t xml:space="preserve"> experience of the</w:t>
      </w:r>
      <w:r w:rsidRPr="002659A3">
        <w:rPr>
          <w:b/>
          <w:sz w:val="22"/>
          <w:szCs w:val="22"/>
        </w:rPr>
        <w:t xml:space="preserve"> Ministry of Economy and Finance</w:t>
      </w:r>
      <w:r w:rsidR="003A5B6B" w:rsidRPr="002659A3">
        <w:rPr>
          <w:b/>
          <w:sz w:val="22"/>
          <w:szCs w:val="22"/>
        </w:rPr>
        <w:t xml:space="preserve"> (MEF)</w:t>
      </w:r>
      <w:r w:rsidR="0013669E" w:rsidRPr="002659A3">
        <w:rPr>
          <w:b/>
          <w:sz w:val="22"/>
          <w:szCs w:val="22"/>
        </w:rPr>
        <w:t xml:space="preserve"> of Italy</w:t>
      </w:r>
      <w:r w:rsidRPr="002659A3">
        <w:rPr>
          <w:b/>
          <w:sz w:val="22"/>
          <w:szCs w:val="22"/>
        </w:rPr>
        <w:t xml:space="preserve">, </w:t>
      </w:r>
      <w:r w:rsidR="0013669E" w:rsidRPr="002659A3">
        <w:rPr>
          <w:b/>
          <w:sz w:val="22"/>
          <w:szCs w:val="22"/>
        </w:rPr>
        <w:t xml:space="preserve">in </w:t>
      </w:r>
      <w:r w:rsidR="00A43497" w:rsidRPr="002659A3">
        <w:rPr>
          <w:b/>
          <w:sz w:val="22"/>
          <w:szCs w:val="22"/>
        </w:rPr>
        <w:t>spending review</w:t>
      </w:r>
      <w:r w:rsidR="00BB5CC3" w:rsidRPr="002659A3">
        <w:rPr>
          <w:b/>
          <w:sz w:val="22"/>
          <w:szCs w:val="22"/>
        </w:rPr>
        <w:t xml:space="preserve">. </w:t>
      </w:r>
      <w:r w:rsidR="00BB5CC3" w:rsidRPr="002659A3">
        <w:rPr>
          <w:bCs/>
          <w:sz w:val="22"/>
          <w:szCs w:val="22"/>
        </w:rPr>
        <w:t xml:space="preserve">Italy is </w:t>
      </w:r>
      <w:r w:rsidR="00A43497" w:rsidRPr="002659A3">
        <w:rPr>
          <w:bCs/>
          <w:sz w:val="22"/>
          <w:szCs w:val="22"/>
        </w:rPr>
        <w:t>a country that experimented with different types, objectives, and processes of spending reviews over the last decade</w:t>
      </w:r>
      <w:r w:rsidR="00BB5CC3" w:rsidRPr="002659A3">
        <w:rPr>
          <w:bCs/>
          <w:sz w:val="22"/>
          <w:szCs w:val="22"/>
        </w:rPr>
        <w:t>. This reflects the fact that spending reviews are very adaptable, thus making it difficult to have only one definition of a spending review</w:t>
      </w:r>
      <w:r w:rsidR="00E77019" w:rsidRPr="002659A3">
        <w:rPr>
          <w:bCs/>
          <w:sz w:val="22"/>
          <w:szCs w:val="22"/>
        </w:rPr>
        <w:t xml:space="preserve">, as it can </w:t>
      </w:r>
      <w:r w:rsidR="001B772F" w:rsidRPr="002659A3">
        <w:rPr>
          <w:sz w:val="22"/>
          <w:szCs w:val="22"/>
        </w:rPr>
        <w:t>use different tools</w:t>
      </w:r>
      <w:r w:rsidR="00E77019" w:rsidRPr="002659A3">
        <w:rPr>
          <w:sz w:val="22"/>
          <w:szCs w:val="22"/>
        </w:rPr>
        <w:t xml:space="preserve">, such as </w:t>
      </w:r>
      <w:r w:rsidR="001B772F" w:rsidRPr="002659A3">
        <w:rPr>
          <w:bCs/>
          <w:sz w:val="22"/>
          <w:szCs w:val="22"/>
        </w:rPr>
        <w:t>efficiency analysis</w:t>
      </w:r>
      <w:r w:rsidR="00E77019" w:rsidRPr="002659A3">
        <w:rPr>
          <w:bCs/>
          <w:sz w:val="22"/>
          <w:szCs w:val="22"/>
        </w:rPr>
        <w:t xml:space="preserve">, </w:t>
      </w:r>
      <w:r w:rsidR="001B772F" w:rsidRPr="002659A3">
        <w:rPr>
          <w:bCs/>
          <w:sz w:val="22"/>
          <w:szCs w:val="22"/>
        </w:rPr>
        <w:t>evaluation of public policies</w:t>
      </w:r>
      <w:r w:rsidR="00E77019" w:rsidRPr="002659A3">
        <w:rPr>
          <w:bCs/>
          <w:sz w:val="22"/>
          <w:szCs w:val="22"/>
        </w:rPr>
        <w:t xml:space="preserve">, </w:t>
      </w:r>
      <w:r w:rsidR="001B772F" w:rsidRPr="002659A3">
        <w:rPr>
          <w:bCs/>
          <w:sz w:val="22"/>
          <w:szCs w:val="22"/>
        </w:rPr>
        <w:t>systematic reviews of expenditure or individual programs</w:t>
      </w:r>
      <w:r w:rsidR="00E77019" w:rsidRPr="002659A3">
        <w:rPr>
          <w:bCs/>
          <w:sz w:val="22"/>
          <w:szCs w:val="22"/>
        </w:rPr>
        <w:t xml:space="preserve">, </w:t>
      </w:r>
      <w:r w:rsidR="001B772F" w:rsidRPr="002659A3">
        <w:rPr>
          <w:bCs/>
          <w:sz w:val="22"/>
          <w:szCs w:val="22"/>
        </w:rPr>
        <w:t xml:space="preserve">revision of the perimeter of public intervention, etc. </w:t>
      </w:r>
      <w:r w:rsidR="00E77019" w:rsidRPr="002659A3">
        <w:rPr>
          <w:bCs/>
          <w:sz w:val="22"/>
          <w:szCs w:val="22"/>
        </w:rPr>
        <w:t xml:space="preserve">Moreover, the objective of the spending review can change over time and do not necessarily have to include spending cuts. </w:t>
      </w:r>
      <w:r w:rsidR="0031581D" w:rsidRPr="002659A3">
        <w:rPr>
          <w:bCs/>
          <w:sz w:val="22"/>
          <w:szCs w:val="22"/>
        </w:rPr>
        <w:t xml:space="preserve">Three key context factors shape up spending reviews: economic context (depending on economic situation, spending reviews can </w:t>
      </w:r>
      <w:r w:rsidR="000D73B8" w:rsidRPr="002659A3">
        <w:rPr>
          <w:bCs/>
          <w:sz w:val="22"/>
          <w:szCs w:val="22"/>
        </w:rPr>
        <w:t xml:space="preserve">have </w:t>
      </w:r>
      <w:r w:rsidR="0031581D" w:rsidRPr="002659A3">
        <w:rPr>
          <w:bCs/>
          <w:sz w:val="22"/>
          <w:szCs w:val="22"/>
        </w:rPr>
        <w:t>different objectives, such as expenditure prioritization, fiscal consolidation space, improvement in service quality etc.), institutional context (institutional structure determines the roles and relationship in spending review</w:t>
      </w:r>
      <w:r w:rsidR="000D73B8" w:rsidRPr="002659A3">
        <w:rPr>
          <w:bCs/>
          <w:sz w:val="22"/>
          <w:szCs w:val="22"/>
        </w:rPr>
        <w:t>s</w:t>
      </w:r>
      <w:r w:rsidR="0031581D" w:rsidRPr="002659A3">
        <w:rPr>
          <w:bCs/>
          <w:sz w:val="22"/>
          <w:szCs w:val="22"/>
        </w:rPr>
        <w:t xml:space="preserve">, and electoral cycle. A recent global trend is increase of interest od parliaments in spending reviews. </w:t>
      </w:r>
      <w:r w:rsidR="004472EF" w:rsidRPr="002659A3">
        <w:rPr>
          <w:bCs/>
          <w:sz w:val="22"/>
          <w:szCs w:val="22"/>
        </w:rPr>
        <w:t>Ms. Pennisi discussed options under</w:t>
      </w:r>
      <w:r w:rsidR="0031581D" w:rsidRPr="002659A3">
        <w:rPr>
          <w:bCs/>
          <w:sz w:val="22"/>
          <w:szCs w:val="22"/>
        </w:rPr>
        <w:t xml:space="preserve"> six dimensions to take into account: perimeter of the analysis (scope of expenditure to be reviewed and strategic versus efficiency focus), time scope and frequency, ex-ante target of savings or expenditure ceiling, </w:t>
      </w:r>
      <w:r w:rsidR="004472EF" w:rsidRPr="002659A3">
        <w:rPr>
          <w:bCs/>
          <w:sz w:val="22"/>
          <w:szCs w:val="22"/>
        </w:rPr>
        <w:t xml:space="preserve">responsibilities of institutional actors, participation of external experts, and the use of public consultations. </w:t>
      </w:r>
      <w:r w:rsidR="00010CE1" w:rsidRPr="002659A3">
        <w:rPr>
          <w:sz w:val="22"/>
          <w:szCs w:val="22"/>
        </w:rPr>
        <w:t xml:space="preserve">Italy has combined different </w:t>
      </w:r>
      <w:r w:rsidR="004472EF" w:rsidRPr="002659A3">
        <w:rPr>
          <w:sz w:val="22"/>
          <w:szCs w:val="22"/>
        </w:rPr>
        <w:t xml:space="preserve">options of these </w:t>
      </w:r>
      <w:r w:rsidR="00010CE1" w:rsidRPr="002659A3">
        <w:rPr>
          <w:sz w:val="22"/>
          <w:szCs w:val="22"/>
        </w:rPr>
        <w:t xml:space="preserve">dimensions </w:t>
      </w:r>
      <w:r w:rsidR="00556016" w:rsidRPr="002659A3">
        <w:rPr>
          <w:sz w:val="22"/>
          <w:szCs w:val="22"/>
        </w:rPr>
        <w:t xml:space="preserve">in various </w:t>
      </w:r>
      <w:r w:rsidR="004472EF" w:rsidRPr="002659A3">
        <w:rPr>
          <w:sz w:val="22"/>
          <w:szCs w:val="22"/>
        </w:rPr>
        <w:t xml:space="preserve">spending reviews </w:t>
      </w:r>
      <w:r w:rsidR="0078778E" w:rsidRPr="002659A3">
        <w:rPr>
          <w:sz w:val="22"/>
          <w:szCs w:val="22"/>
        </w:rPr>
        <w:t>conducted over the years</w:t>
      </w:r>
      <w:r w:rsidR="004472EF" w:rsidRPr="002659A3">
        <w:rPr>
          <w:sz w:val="22"/>
          <w:szCs w:val="22"/>
        </w:rPr>
        <w:t xml:space="preserve"> and encounter several challenges. The most recent reforms refocused the spending review to integrate it fully with the budget cycle and install a legislative basis for implementing spending review recommendations (as Italy is a legislation-centric country with frequent government changes). </w:t>
      </w:r>
    </w:p>
    <w:p w14:paraId="55F9D158" w14:textId="7323385E" w:rsidR="00870E36" w:rsidRPr="002659A3" w:rsidRDefault="004472EF" w:rsidP="003F3D66">
      <w:pPr>
        <w:spacing w:afterLines="80" w:after="192"/>
        <w:jc w:val="both"/>
        <w:rPr>
          <w:b/>
          <w:sz w:val="22"/>
          <w:szCs w:val="22"/>
        </w:rPr>
      </w:pPr>
      <w:r w:rsidRPr="002659A3">
        <w:rPr>
          <w:sz w:val="22"/>
          <w:szCs w:val="22"/>
        </w:rPr>
        <w:t>The</w:t>
      </w:r>
      <w:r w:rsidR="000D73B8" w:rsidRPr="002659A3">
        <w:rPr>
          <w:sz w:val="22"/>
          <w:szCs w:val="22"/>
        </w:rPr>
        <w:t xml:space="preserve"> f</w:t>
      </w:r>
      <w:r w:rsidRPr="002659A3">
        <w:rPr>
          <w:sz w:val="22"/>
          <w:szCs w:val="22"/>
        </w:rPr>
        <w:t xml:space="preserve">irst round of spending reviews in Italy was established in 2007, with the Ministry of Finance and Economy being mandated to carry out a review of central government spending programs in five ministries, in cooperation with a special technical commission comprised of external experts. The focus was on productivity/organizational approach. </w:t>
      </w:r>
      <w:r w:rsidR="001A735C" w:rsidRPr="002659A3">
        <w:rPr>
          <w:sz w:val="22"/>
          <w:szCs w:val="22"/>
        </w:rPr>
        <w:t xml:space="preserve">Next, in </w:t>
      </w:r>
      <w:r w:rsidR="00377538" w:rsidRPr="002659A3">
        <w:rPr>
          <w:sz w:val="22"/>
          <w:szCs w:val="22"/>
        </w:rPr>
        <w:t xml:space="preserve">the </w:t>
      </w:r>
      <w:r w:rsidR="001A735C" w:rsidRPr="002659A3">
        <w:rPr>
          <w:sz w:val="22"/>
          <w:szCs w:val="22"/>
        </w:rPr>
        <w:t>2010-2013</w:t>
      </w:r>
      <w:r w:rsidR="00377538" w:rsidRPr="002659A3">
        <w:rPr>
          <w:sz w:val="22"/>
          <w:szCs w:val="22"/>
        </w:rPr>
        <w:t xml:space="preserve"> </w:t>
      </w:r>
      <w:r w:rsidR="005B75F2" w:rsidRPr="002659A3">
        <w:rPr>
          <w:sz w:val="22"/>
          <w:szCs w:val="22"/>
        </w:rPr>
        <w:t xml:space="preserve">round of </w:t>
      </w:r>
      <w:r w:rsidR="001A735C" w:rsidRPr="002659A3">
        <w:rPr>
          <w:sz w:val="22"/>
          <w:szCs w:val="22"/>
        </w:rPr>
        <w:t>spending reviews</w:t>
      </w:r>
      <w:r w:rsidR="00377538" w:rsidRPr="002659A3">
        <w:rPr>
          <w:sz w:val="22"/>
          <w:szCs w:val="22"/>
        </w:rPr>
        <w:t>, the</w:t>
      </w:r>
      <w:r w:rsidR="0013669E" w:rsidRPr="002659A3">
        <w:rPr>
          <w:sz w:val="22"/>
          <w:szCs w:val="22"/>
        </w:rPr>
        <w:t xml:space="preserve">y </w:t>
      </w:r>
      <w:r w:rsidR="001A735C" w:rsidRPr="002659A3">
        <w:rPr>
          <w:sz w:val="22"/>
          <w:szCs w:val="22"/>
        </w:rPr>
        <w:t xml:space="preserve">were made permanent </w:t>
      </w:r>
      <w:r w:rsidR="003F3D66" w:rsidRPr="002659A3">
        <w:rPr>
          <w:sz w:val="22"/>
          <w:szCs w:val="22"/>
        </w:rPr>
        <w:t>and</w:t>
      </w:r>
      <w:r w:rsidR="001A735C" w:rsidRPr="002659A3">
        <w:rPr>
          <w:sz w:val="22"/>
          <w:szCs w:val="22"/>
        </w:rPr>
        <w:t xml:space="preserve"> were conducted in collaboration between the Ministry of Finance and line ministries, focusing on specific sectoral analyses and proposals of indicators to monitor policy impacts. Although a significant body of evidence was produced, the spending review teams had a weak political mandate, which hampered the usage of recommendations. As the government changed and the economic global crisis affected Italy in this period, the focus of spending reviews</w:t>
      </w:r>
      <w:r w:rsidR="00377538" w:rsidRPr="002659A3">
        <w:rPr>
          <w:sz w:val="22"/>
          <w:szCs w:val="22"/>
        </w:rPr>
        <w:t xml:space="preserve"> next</w:t>
      </w:r>
      <w:r w:rsidR="001A735C" w:rsidRPr="002659A3">
        <w:rPr>
          <w:sz w:val="22"/>
          <w:szCs w:val="22"/>
        </w:rPr>
        <w:t xml:space="preserve"> shifted toward fiscal consolidation.</w:t>
      </w:r>
      <w:r w:rsidR="005B75F2" w:rsidRPr="002659A3">
        <w:rPr>
          <w:sz w:val="22"/>
          <w:szCs w:val="22"/>
        </w:rPr>
        <w:t xml:space="preserve"> In the third round of spending reviews in 2011-2017, a</w:t>
      </w:r>
      <w:r w:rsidR="001A735C" w:rsidRPr="002659A3">
        <w:rPr>
          <w:sz w:val="22"/>
          <w:szCs w:val="22"/>
        </w:rPr>
        <w:t xml:space="preserve"> high commissioner </w:t>
      </w:r>
      <w:r w:rsidR="005B75F2" w:rsidRPr="002659A3">
        <w:rPr>
          <w:sz w:val="22"/>
          <w:szCs w:val="22"/>
        </w:rPr>
        <w:t>role was established</w:t>
      </w:r>
      <w:r w:rsidR="001A735C" w:rsidRPr="002659A3">
        <w:rPr>
          <w:sz w:val="22"/>
          <w:szCs w:val="22"/>
        </w:rPr>
        <w:t xml:space="preserve"> for </w:t>
      </w:r>
      <w:r w:rsidR="005B75F2" w:rsidRPr="002659A3">
        <w:rPr>
          <w:sz w:val="22"/>
          <w:szCs w:val="22"/>
        </w:rPr>
        <w:t>leading</w:t>
      </w:r>
      <w:r w:rsidR="001A735C" w:rsidRPr="002659A3">
        <w:rPr>
          <w:sz w:val="22"/>
          <w:szCs w:val="22"/>
        </w:rPr>
        <w:t xml:space="preserve"> spending reviews and to report to the Council of Ministers with the authority to access all of line ministries’ </w:t>
      </w:r>
      <w:r w:rsidR="001A735C" w:rsidRPr="002659A3">
        <w:rPr>
          <w:sz w:val="22"/>
          <w:szCs w:val="22"/>
        </w:rPr>
        <w:lastRenderedPageBreak/>
        <w:t>data. The three spending reviews were conducted in this period under three commissioners, with the first one focusing on goods and services, the second focusing more on policy review and sectoral strategic recommendations and on the design of public procurement system reform, and the third one focusing on implementing the public procurement reform</w:t>
      </w:r>
      <w:r w:rsidR="005B75F2" w:rsidRPr="002659A3">
        <w:rPr>
          <w:sz w:val="22"/>
          <w:szCs w:val="22"/>
        </w:rPr>
        <w:t xml:space="preserve"> and reorganizing the police. Spending reviews contributed to cut in primary current expenditure and government consumption, however there were also challenges, most importantly the frequent government changes due to which many spending review recommendation</w:t>
      </w:r>
      <w:r w:rsidR="00A61289" w:rsidRPr="002659A3">
        <w:rPr>
          <w:sz w:val="22"/>
          <w:szCs w:val="22"/>
        </w:rPr>
        <w:t>s</w:t>
      </w:r>
      <w:r w:rsidR="005B75F2" w:rsidRPr="002659A3">
        <w:rPr>
          <w:sz w:val="22"/>
          <w:szCs w:val="22"/>
        </w:rPr>
        <w:t xml:space="preserve"> ended up not being implemented. Furthermore, due to </w:t>
      </w:r>
      <w:r w:rsidR="00A61289" w:rsidRPr="002659A3">
        <w:rPr>
          <w:sz w:val="22"/>
          <w:szCs w:val="22"/>
        </w:rPr>
        <w:t xml:space="preserve">needs for strong fiscal consolidation in this period, in addition to cuts identified by the spending reviews, additional linear across the board cuts of spending of all ministries had to be implemented, which resulted in some hidden debt. </w:t>
      </w:r>
      <w:r w:rsidR="003F3D66" w:rsidRPr="002659A3">
        <w:rPr>
          <w:sz w:val="22"/>
          <w:szCs w:val="22"/>
        </w:rPr>
        <w:t>Finally, the</w:t>
      </w:r>
      <w:r w:rsidR="00A61289" w:rsidRPr="002659A3">
        <w:rPr>
          <w:sz w:val="22"/>
          <w:szCs w:val="22"/>
        </w:rPr>
        <w:t xml:space="preserve"> focus was on new </w:t>
      </w:r>
      <w:r w:rsidR="00003B0B" w:rsidRPr="002659A3">
        <w:rPr>
          <w:sz w:val="22"/>
          <w:szCs w:val="22"/>
        </w:rPr>
        <w:t>spending</w:t>
      </w:r>
      <w:r w:rsidR="00A61289" w:rsidRPr="002659A3">
        <w:rPr>
          <w:sz w:val="22"/>
          <w:szCs w:val="22"/>
        </w:rPr>
        <w:t>, while the baseline expenditures were not given enough attention</w:t>
      </w:r>
      <w:r w:rsidR="000D73B8" w:rsidRPr="002659A3">
        <w:rPr>
          <w:sz w:val="22"/>
          <w:szCs w:val="22"/>
        </w:rPr>
        <w:t>, as these two parts of the budget were separately planned and adopted in this period.</w:t>
      </w:r>
      <w:r w:rsidR="00A61289" w:rsidRPr="002659A3">
        <w:rPr>
          <w:sz w:val="22"/>
          <w:szCs w:val="22"/>
        </w:rPr>
        <w:t xml:space="preserve"> This led to the view that SRs where better placed as structurally embedded within a budget cycle. In current practices, the focus </w:t>
      </w:r>
      <w:r w:rsidR="00003B0B" w:rsidRPr="002659A3">
        <w:rPr>
          <w:sz w:val="22"/>
          <w:szCs w:val="22"/>
        </w:rPr>
        <w:t xml:space="preserve">is </w:t>
      </w:r>
      <w:r w:rsidR="00A61289" w:rsidRPr="002659A3">
        <w:rPr>
          <w:sz w:val="22"/>
          <w:szCs w:val="22"/>
        </w:rPr>
        <w:t>on top-down approach</w:t>
      </w:r>
      <w:r w:rsidR="000D73B8" w:rsidRPr="002659A3">
        <w:rPr>
          <w:sz w:val="22"/>
          <w:szCs w:val="22"/>
        </w:rPr>
        <w:t xml:space="preserve">, </w:t>
      </w:r>
      <w:r w:rsidR="00377538" w:rsidRPr="002659A3">
        <w:rPr>
          <w:sz w:val="22"/>
          <w:szCs w:val="22"/>
        </w:rPr>
        <w:t xml:space="preserve">looking at all expenditure </w:t>
      </w:r>
      <w:r w:rsidR="000D73B8" w:rsidRPr="002659A3">
        <w:rPr>
          <w:sz w:val="22"/>
          <w:szCs w:val="22"/>
        </w:rPr>
        <w:t>and budget being organized in missions and programs.</w:t>
      </w:r>
      <w:r w:rsidR="00846AB3" w:rsidRPr="002659A3">
        <w:rPr>
          <w:sz w:val="22"/>
          <w:szCs w:val="22"/>
        </w:rPr>
        <w:t xml:space="preserve"> Detailed process, timeline, and roles were presented. </w:t>
      </w:r>
      <w:r w:rsidR="000D73B8" w:rsidRPr="002659A3">
        <w:rPr>
          <w:sz w:val="22"/>
          <w:szCs w:val="22"/>
        </w:rPr>
        <w:t>After an overall fiscal target is established, line ministries are assigned a three-year target</w:t>
      </w:r>
      <w:r w:rsidR="00377538" w:rsidRPr="002659A3">
        <w:rPr>
          <w:sz w:val="22"/>
          <w:szCs w:val="22"/>
        </w:rPr>
        <w:t xml:space="preserve"> to be proposed in a spending review</w:t>
      </w:r>
      <w:r w:rsidR="000D73B8" w:rsidRPr="002659A3">
        <w:rPr>
          <w:sz w:val="22"/>
          <w:szCs w:val="22"/>
        </w:rPr>
        <w:t>, which can either be based on expenditure ceilings or on saving cuts</w:t>
      </w:r>
      <w:r w:rsidR="00E70E9F" w:rsidRPr="002659A3">
        <w:rPr>
          <w:sz w:val="22"/>
          <w:szCs w:val="22"/>
        </w:rPr>
        <w:t xml:space="preserve">. The line ministries essentially propose these under a spending review process </w:t>
      </w:r>
      <w:r w:rsidR="000D73B8" w:rsidRPr="002659A3">
        <w:rPr>
          <w:sz w:val="22"/>
          <w:szCs w:val="22"/>
        </w:rPr>
        <w:t>and the achievement of the targets is monitored during the year under specific “agreements” between the Ministry of Finance and each line ministry, from both a financial and results-based approach</w:t>
      </w:r>
      <w:r w:rsidR="00B456B9" w:rsidRPr="002659A3">
        <w:rPr>
          <w:sz w:val="22"/>
          <w:szCs w:val="22"/>
        </w:rPr>
        <w:t>,</w:t>
      </w:r>
      <w:r w:rsidR="000D73B8" w:rsidRPr="002659A3">
        <w:rPr>
          <w:sz w:val="22"/>
          <w:szCs w:val="22"/>
        </w:rPr>
        <w:t xml:space="preserve"> and published.</w:t>
      </w:r>
      <w:r w:rsidR="008F7B6E" w:rsidRPr="002659A3">
        <w:rPr>
          <w:sz w:val="22"/>
          <w:szCs w:val="22"/>
        </w:rPr>
        <w:t xml:space="preserve"> In practice, since the 2018-2020 budget cycle, 2% annual saving targets have been assigned to each line ministry</w:t>
      </w:r>
      <w:r w:rsidR="007E25CF" w:rsidRPr="002659A3">
        <w:rPr>
          <w:sz w:val="22"/>
          <w:szCs w:val="22"/>
        </w:rPr>
        <w:t>, excluding some expenditure, such</w:t>
      </w:r>
      <w:r w:rsidR="00003B0B" w:rsidRPr="002659A3">
        <w:rPr>
          <w:sz w:val="22"/>
          <w:szCs w:val="22"/>
        </w:rPr>
        <w:t xml:space="preserve"> </w:t>
      </w:r>
      <w:r w:rsidR="007E25CF" w:rsidRPr="002659A3">
        <w:rPr>
          <w:sz w:val="22"/>
          <w:szCs w:val="22"/>
        </w:rPr>
        <w:t>as the compulsory personnel costs (small part of benefits are included), interest, transfers to other sector of the public administration, reserve fund. Government has set some political priorities to be excluded from the savings targets, such as infrastructure spending</w:t>
      </w:r>
      <w:r w:rsidR="00E70E9F" w:rsidRPr="002659A3">
        <w:rPr>
          <w:sz w:val="22"/>
          <w:szCs w:val="22"/>
        </w:rPr>
        <w:t xml:space="preserve"> and </w:t>
      </w:r>
      <w:r w:rsidR="007E25CF" w:rsidRPr="002659A3">
        <w:rPr>
          <w:sz w:val="22"/>
          <w:szCs w:val="22"/>
        </w:rPr>
        <w:t>migration-related spending.</w:t>
      </w:r>
      <w:r w:rsidR="00E70E9F" w:rsidRPr="002659A3">
        <w:rPr>
          <w:sz w:val="22"/>
          <w:szCs w:val="22"/>
        </w:rPr>
        <w:t xml:space="preserve"> As a result of the 2018 spending reviews, </w:t>
      </w:r>
      <w:r w:rsidR="00CE0A16" w:rsidRPr="002659A3">
        <w:rPr>
          <w:sz w:val="22"/>
          <w:szCs w:val="22"/>
        </w:rPr>
        <w:t xml:space="preserve">162 measures were proposed, </w:t>
      </w:r>
      <w:r w:rsidR="00E70E9F" w:rsidRPr="002659A3">
        <w:rPr>
          <w:sz w:val="22"/>
          <w:szCs w:val="22"/>
        </w:rPr>
        <w:t>cut</w:t>
      </w:r>
      <w:r w:rsidR="00CE0A16" w:rsidRPr="002659A3">
        <w:rPr>
          <w:sz w:val="22"/>
          <w:szCs w:val="22"/>
        </w:rPr>
        <w:t>ting</w:t>
      </w:r>
      <w:r w:rsidR="00E70E9F" w:rsidRPr="002659A3">
        <w:rPr>
          <w:sz w:val="22"/>
          <w:szCs w:val="22"/>
        </w:rPr>
        <w:t xml:space="preserve"> 12% of spending that was subject to reviews were achieved. </w:t>
      </w:r>
      <w:r w:rsidR="00CE0A16" w:rsidRPr="002659A3">
        <w:rPr>
          <w:sz w:val="22"/>
          <w:szCs w:val="22"/>
        </w:rPr>
        <w:t xml:space="preserve">Main challenges remain getting the data from the line ministries and ensuring the political support, as well as </w:t>
      </w:r>
      <w:r w:rsidR="003F3D66" w:rsidRPr="002659A3">
        <w:rPr>
          <w:sz w:val="22"/>
          <w:szCs w:val="22"/>
        </w:rPr>
        <w:t xml:space="preserve">administrative pressures to repeal saving measures. </w:t>
      </w:r>
      <w:r w:rsidR="003917D6" w:rsidRPr="002659A3">
        <w:rPr>
          <w:sz w:val="22"/>
          <w:szCs w:val="22"/>
        </w:rPr>
        <w:t xml:space="preserve">In Italy, data collected at the central level from the 8 thousand municipalities within the equalization transfer system, offer a platform for municipalities wanting to conduct their own spending reviews. The platform </w:t>
      </w:r>
      <w:hyperlink r:id="rId9" w:history="1">
        <w:r w:rsidR="003917D6" w:rsidRPr="002659A3">
          <w:rPr>
            <w:rStyle w:val="Hyperlink"/>
            <w:sz w:val="22"/>
            <w:szCs w:val="22"/>
          </w:rPr>
          <w:t>www.opencivitas.it</w:t>
        </w:r>
      </w:hyperlink>
      <w:r w:rsidR="003917D6" w:rsidRPr="002659A3">
        <w:rPr>
          <w:sz w:val="22"/>
          <w:szCs w:val="22"/>
        </w:rPr>
        <w:t xml:space="preserve"> allows comparison between the actual expenditure and the standard expenditure needs for each local administration, performance of services, indicators which are relevant to understand managerial and organizational choices.</w:t>
      </w:r>
    </w:p>
    <w:p w14:paraId="7DACEEA7" w14:textId="39BB003F" w:rsidR="005F726F" w:rsidRPr="002659A3" w:rsidRDefault="005F726F" w:rsidP="005F726F">
      <w:pPr>
        <w:pStyle w:val="Heading1"/>
        <w:spacing w:before="0" w:afterLines="80" w:after="192" w:line="240" w:lineRule="auto"/>
        <w:rPr>
          <w:rFonts w:ascii="Times New Roman" w:hAnsi="Times New Roman" w:cs="Times New Roman"/>
          <w:b/>
          <w:bCs/>
          <w:color w:val="538135" w:themeColor="accent6" w:themeShade="BF"/>
          <w:sz w:val="22"/>
          <w:szCs w:val="22"/>
        </w:rPr>
      </w:pPr>
      <w:bookmarkStart w:id="15" w:name="_Toc24897637"/>
      <w:r w:rsidRPr="002659A3">
        <w:rPr>
          <w:rFonts w:ascii="Times New Roman" w:hAnsi="Times New Roman" w:cs="Times New Roman"/>
          <w:b/>
          <w:bCs/>
          <w:color w:val="538135" w:themeColor="accent6" w:themeShade="BF"/>
          <w:sz w:val="22"/>
          <w:szCs w:val="22"/>
        </w:rPr>
        <w:t>What Are the Lessons Learned from the Irish Experiences in Spending Reviews?</w:t>
      </w:r>
      <w:bookmarkEnd w:id="15"/>
      <w:r w:rsidRPr="002659A3">
        <w:rPr>
          <w:rFonts w:ascii="Times New Roman" w:hAnsi="Times New Roman" w:cs="Times New Roman"/>
          <w:b/>
          <w:bCs/>
          <w:color w:val="538135" w:themeColor="accent6" w:themeShade="BF"/>
          <w:sz w:val="22"/>
          <w:szCs w:val="22"/>
        </w:rPr>
        <w:t xml:space="preserve"> </w:t>
      </w:r>
    </w:p>
    <w:p w14:paraId="3581A366" w14:textId="6FFCB440" w:rsidR="00846AB3" w:rsidRPr="002659A3" w:rsidRDefault="0057769C" w:rsidP="00846AB3">
      <w:pPr>
        <w:tabs>
          <w:tab w:val="num" w:pos="720"/>
        </w:tabs>
        <w:snapToGrid w:val="0"/>
        <w:spacing w:afterLines="80" w:after="192"/>
        <w:jc w:val="both"/>
        <w:rPr>
          <w:sz w:val="22"/>
          <w:szCs w:val="22"/>
        </w:rPr>
      </w:pPr>
      <w:r w:rsidRPr="002659A3">
        <w:rPr>
          <w:b/>
          <w:iCs/>
          <w:sz w:val="22"/>
          <w:szCs w:val="22"/>
        </w:rPr>
        <w:t xml:space="preserve">The Ireland experience </w:t>
      </w:r>
      <w:r w:rsidR="00003B0B" w:rsidRPr="002659A3">
        <w:rPr>
          <w:b/>
          <w:iCs/>
          <w:sz w:val="22"/>
          <w:szCs w:val="22"/>
        </w:rPr>
        <w:t xml:space="preserve">in spending reviews </w:t>
      </w:r>
      <w:r w:rsidRPr="002659A3">
        <w:rPr>
          <w:b/>
          <w:iCs/>
          <w:sz w:val="22"/>
          <w:szCs w:val="22"/>
        </w:rPr>
        <w:t>was presented by John Burke, Head of Unit, and Pádraic Reidy, Assistant Principal Officer</w:t>
      </w:r>
      <w:r w:rsidR="00003B0B" w:rsidRPr="002659A3">
        <w:rPr>
          <w:b/>
          <w:iCs/>
          <w:sz w:val="22"/>
          <w:szCs w:val="22"/>
        </w:rPr>
        <w:t xml:space="preserve">, </w:t>
      </w:r>
      <w:r w:rsidR="00B74359" w:rsidRPr="002659A3">
        <w:rPr>
          <w:b/>
          <w:iCs/>
          <w:sz w:val="22"/>
          <w:szCs w:val="22"/>
        </w:rPr>
        <w:t xml:space="preserve">from the </w:t>
      </w:r>
      <w:r w:rsidRPr="002659A3">
        <w:rPr>
          <w:b/>
          <w:iCs/>
          <w:sz w:val="22"/>
          <w:szCs w:val="22"/>
        </w:rPr>
        <w:t>Department of Public Expenditure and Reform</w:t>
      </w:r>
      <w:r w:rsidRPr="002659A3">
        <w:rPr>
          <w:iCs/>
          <w:sz w:val="22"/>
          <w:szCs w:val="22"/>
        </w:rPr>
        <w:t xml:space="preserve">. </w:t>
      </w:r>
      <w:r w:rsidR="00003B0B" w:rsidRPr="002659A3">
        <w:rPr>
          <w:iCs/>
          <w:sz w:val="22"/>
          <w:szCs w:val="22"/>
        </w:rPr>
        <w:t>Irish spending reviews have moved over time from more traditional spending reviews per OECD definition focusing on spending cuts to more of a policy-focused spending reviews, closer to the World Bank PERs analyses. Ireland embarked on spending reviews in the aftermath of strong economic crisis and the need for significant and fact spending cuts. This aligned with the EU-wide focus on spending revises following the global financial crisis.</w:t>
      </w:r>
      <w:r w:rsidR="00017192" w:rsidRPr="002659A3">
        <w:rPr>
          <w:sz w:val="22"/>
          <w:szCs w:val="22"/>
        </w:rPr>
        <w:t xml:space="preserve"> Ireland has </w:t>
      </w:r>
      <w:r w:rsidR="00003B0B" w:rsidRPr="002659A3">
        <w:rPr>
          <w:sz w:val="22"/>
          <w:szCs w:val="22"/>
        </w:rPr>
        <w:t>conducted</w:t>
      </w:r>
      <w:r w:rsidR="00017192" w:rsidRPr="002659A3">
        <w:rPr>
          <w:sz w:val="22"/>
          <w:szCs w:val="22"/>
        </w:rPr>
        <w:t xml:space="preserve"> four </w:t>
      </w:r>
      <w:r w:rsidR="00003B0B" w:rsidRPr="002659A3">
        <w:rPr>
          <w:sz w:val="22"/>
          <w:szCs w:val="22"/>
        </w:rPr>
        <w:t xml:space="preserve">rounds of </w:t>
      </w:r>
      <w:r w:rsidR="00017192" w:rsidRPr="002659A3">
        <w:rPr>
          <w:sz w:val="22"/>
          <w:szCs w:val="22"/>
        </w:rPr>
        <w:t xml:space="preserve">spending reviews </w:t>
      </w:r>
      <w:r w:rsidR="006F58AF" w:rsidRPr="002659A3">
        <w:rPr>
          <w:sz w:val="22"/>
          <w:szCs w:val="22"/>
        </w:rPr>
        <w:t xml:space="preserve">(2009, 2012-2014, 2015-2017, and 2017-2019) </w:t>
      </w:r>
      <w:r w:rsidR="00B2726E" w:rsidRPr="002659A3">
        <w:rPr>
          <w:sz w:val="22"/>
          <w:szCs w:val="22"/>
        </w:rPr>
        <w:t>with the first two</w:t>
      </w:r>
      <w:r w:rsidR="00017192" w:rsidRPr="002659A3">
        <w:rPr>
          <w:sz w:val="22"/>
          <w:szCs w:val="22"/>
        </w:rPr>
        <w:t xml:space="preserve"> driven by </w:t>
      </w:r>
      <w:r w:rsidR="00B74359" w:rsidRPr="002659A3">
        <w:rPr>
          <w:sz w:val="22"/>
          <w:szCs w:val="22"/>
        </w:rPr>
        <w:t xml:space="preserve">the </w:t>
      </w:r>
      <w:r w:rsidR="00017192" w:rsidRPr="002659A3">
        <w:rPr>
          <w:sz w:val="22"/>
          <w:szCs w:val="22"/>
        </w:rPr>
        <w:t xml:space="preserve">necessity </w:t>
      </w:r>
      <w:r w:rsidR="006F58AF" w:rsidRPr="002659A3">
        <w:rPr>
          <w:sz w:val="22"/>
          <w:szCs w:val="22"/>
        </w:rPr>
        <w:t xml:space="preserve">for expenditure cuts </w:t>
      </w:r>
      <w:r w:rsidR="00003B0B" w:rsidRPr="002659A3">
        <w:rPr>
          <w:sz w:val="22"/>
          <w:szCs w:val="22"/>
        </w:rPr>
        <w:t xml:space="preserve">and the </w:t>
      </w:r>
      <w:r w:rsidR="00017192" w:rsidRPr="002659A3">
        <w:rPr>
          <w:sz w:val="22"/>
          <w:szCs w:val="22"/>
        </w:rPr>
        <w:t>last two</w:t>
      </w:r>
      <w:r w:rsidR="009A360A" w:rsidRPr="002659A3">
        <w:rPr>
          <w:sz w:val="22"/>
          <w:szCs w:val="22"/>
        </w:rPr>
        <w:t xml:space="preserve"> </w:t>
      </w:r>
      <w:r w:rsidR="006F58AF" w:rsidRPr="002659A3">
        <w:rPr>
          <w:sz w:val="22"/>
          <w:szCs w:val="22"/>
        </w:rPr>
        <w:t xml:space="preserve">driven by promoting spending effectiveness and efficiency in the context of public expenditure increases. Spending reviews contributed to significant expenditure cuts in Ireland, from expenditure reaching almost 60% of GNI in 2010-2012 to drop to close to 40% of GNI since 2015. Ireland uses the approach of comprehensive spending reviews, aiming to cover 100% of expenditure to be reviewed in the three-year period. </w:t>
      </w:r>
      <w:r w:rsidR="008D3FEA" w:rsidRPr="002659A3">
        <w:rPr>
          <w:sz w:val="22"/>
          <w:szCs w:val="22"/>
        </w:rPr>
        <w:t xml:space="preserve">Spending reviews are </w:t>
      </w:r>
      <w:r w:rsidR="00E87081" w:rsidRPr="002659A3">
        <w:rPr>
          <w:sz w:val="22"/>
          <w:szCs w:val="22"/>
        </w:rPr>
        <w:t>led</w:t>
      </w:r>
      <w:r w:rsidR="008D3FEA" w:rsidRPr="002659A3">
        <w:rPr>
          <w:sz w:val="22"/>
          <w:szCs w:val="22"/>
        </w:rPr>
        <w:t xml:space="preserve"> centrally within the Department of Public Expenditure and Reform (DPER i.e. Irish Central Budget Authority), managed by a senior level steering group (and subgroups when needed) in the DPER and supported by a dedicated Spending Review Secretariat. Process is aligned with the budget calendar so that all spending review papers are published in July (around 80 papers published in the 2017-2019 spending review cycle, all published online). Papers are published as staff papers rather than official ministerial papers, which provides challenges in terms of likelihood of implementation, however the advantage is that broad topics, including those that are politically sensitive, are analyzed. The main objective </w:t>
      </w:r>
      <w:r w:rsidR="00846AB3" w:rsidRPr="002659A3">
        <w:rPr>
          <w:sz w:val="22"/>
          <w:szCs w:val="22"/>
        </w:rPr>
        <w:t xml:space="preserve">of the current spending review cycle is learning - </w:t>
      </w:r>
      <w:r w:rsidR="008D3FEA" w:rsidRPr="002659A3">
        <w:rPr>
          <w:sz w:val="22"/>
          <w:szCs w:val="22"/>
        </w:rPr>
        <w:t>to create a large stock of analyses and evidence across the ministries</w:t>
      </w:r>
      <w:r w:rsidR="00846AB3" w:rsidRPr="002659A3">
        <w:rPr>
          <w:sz w:val="22"/>
          <w:szCs w:val="22"/>
        </w:rPr>
        <w:t xml:space="preserve"> as a base for potential reform efforts across </w:t>
      </w:r>
      <w:r w:rsidR="002659A3" w:rsidRPr="002659A3">
        <w:rPr>
          <w:sz w:val="22"/>
          <w:szCs w:val="22"/>
        </w:rPr>
        <w:t>ministries</w:t>
      </w:r>
      <w:r w:rsidR="00846AB3" w:rsidRPr="002659A3">
        <w:rPr>
          <w:sz w:val="22"/>
          <w:szCs w:val="22"/>
        </w:rPr>
        <w:t xml:space="preserve"> and the wider public service and </w:t>
      </w:r>
      <w:r w:rsidR="00846AB3" w:rsidRPr="002659A3">
        <w:rPr>
          <w:sz w:val="22"/>
          <w:szCs w:val="22"/>
        </w:rPr>
        <w:lastRenderedPageBreak/>
        <w:t>to spotlight areas of innovation and good practice, both in program design and service delivery, that will be of wider interest and applicability.</w:t>
      </w:r>
    </w:p>
    <w:p w14:paraId="7B20A241" w14:textId="3252CAFB" w:rsidR="00047729" w:rsidRPr="002659A3" w:rsidRDefault="00846AB3" w:rsidP="00047729">
      <w:pPr>
        <w:snapToGrid w:val="0"/>
        <w:spacing w:afterLines="80" w:after="192"/>
        <w:jc w:val="both"/>
        <w:rPr>
          <w:sz w:val="22"/>
          <w:szCs w:val="22"/>
        </w:rPr>
      </w:pPr>
      <w:r w:rsidRPr="002659A3">
        <w:rPr>
          <w:sz w:val="22"/>
          <w:szCs w:val="22"/>
        </w:rPr>
        <w:t xml:space="preserve">Detailed process, timeline, and roles </w:t>
      </w:r>
      <w:r w:rsidR="00047729" w:rsidRPr="002659A3">
        <w:rPr>
          <w:sz w:val="22"/>
          <w:szCs w:val="22"/>
        </w:rPr>
        <w:t xml:space="preserve">in the current spending review cycle </w:t>
      </w:r>
      <w:r w:rsidRPr="002659A3">
        <w:rPr>
          <w:sz w:val="22"/>
          <w:szCs w:val="22"/>
        </w:rPr>
        <w:t xml:space="preserve">were presented. The process starts with the DPER Secretariat holding briefings in December with the evaluators and budget analysts on the process and objectives and to generate the debate on selection of topics. In the end of the process, once spending review papers are drafted, they are submitted for clearance to the DPER. All papers are produced internally without external consultants and can be produced by the line ministries, by DPER, or jointly. </w:t>
      </w:r>
      <w:r w:rsidR="005C4643" w:rsidRPr="002659A3">
        <w:rPr>
          <w:sz w:val="22"/>
          <w:szCs w:val="22"/>
        </w:rPr>
        <w:t xml:space="preserve">The key success factor has been the establishment of the Irish Economic and Evaluation Service (IGEES) In 2012, which is ran from the </w:t>
      </w:r>
      <w:r w:rsidR="002659A3" w:rsidRPr="002659A3">
        <w:rPr>
          <w:sz w:val="22"/>
          <w:szCs w:val="22"/>
        </w:rPr>
        <w:t>DPER,</w:t>
      </w:r>
      <w:r w:rsidR="005C4643" w:rsidRPr="002659A3">
        <w:rPr>
          <w:sz w:val="22"/>
          <w:szCs w:val="22"/>
        </w:rPr>
        <w:t xml:space="preserve"> but all line ministries have IGEES units provide economic services, including producing and reviewing business cases, undertaking policy analysis, spending review papers, and other evaluations. IGEES economists and analysts have significant involvement in the spending review process including in topic selection, producing reports and presenting analysis internally and externally. The key role in spending reviews is by the sectoral sections in DPER (i.e. budget analysts in charge of specific sectors) and IGEES</w:t>
      </w:r>
      <w:r w:rsidR="00047729" w:rsidRPr="002659A3">
        <w:rPr>
          <w:sz w:val="22"/>
          <w:szCs w:val="22"/>
        </w:rPr>
        <w:t>. Outline of the spending review papers and methodologies was also presented, noting that the methodology draws from the value-for-money framework which was used pre-2009 in Ireland. Challenges include ensuring the implementation, as the economic context and design without explicit saving target requirements limited the implementation focus. In addition, data infrastructure needs to be strengthened now that a large body of evidence exists. Other key success factors from the Irish experience includes the political engagement/backing, early and continued engagement/communication with all stakeholders, and ex-post review of spending reviews as a support to ongoing reform of the process. The role of line ministries is crucial and in Ireland in the first year of current spending review cycle only 2 out of 20 papers were produced by the line ministries, while now it is 10 out of 30 papers.</w:t>
      </w:r>
      <w:r w:rsidR="00E87081" w:rsidRPr="002659A3">
        <w:rPr>
          <w:sz w:val="22"/>
          <w:szCs w:val="22"/>
        </w:rPr>
        <w:t xml:space="preserve"> The speakers also presented an example of spending reviews in justice sector.</w:t>
      </w:r>
    </w:p>
    <w:p w14:paraId="2ADF8BC3" w14:textId="4935EE80" w:rsidR="00B35CB0" w:rsidRPr="002659A3" w:rsidRDefault="00B35CB0" w:rsidP="00743E60">
      <w:pPr>
        <w:pStyle w:val="Heading1"/>
        <w:numPr>
          <w:ilvl w:val="0"/>
          <w:numId w:val="47"/>
        </w:numPr>
        <w:spacing w:before="0" w:afterLines="80" w:after="192" w:line="240" w:lineRule="auto"/>
        <w:ind w:left="450"/>
        <w:rPr>
          <w:rFonts w:ascii="Times New Roman" w:eastAsia="Times New Roman" w:hAnsi="Times New Roman" w:cs="Times New Roman"/>
          <w:b/>
          <w:sz w:val="22"/>
          <w:szCs w:val="22"/>
          <w:lang w:eastAsia="bs-Latn-BA"/>
        </w:rPr>
      </w:pPr>
      <w:bookmarkStart w:id="16" w:name="_Toc24897638"/>
      <w:r w:rsidRPr="002659A3">
        <w:rPr>
          <w:rFonts w:ascii="Times New Roman" w:eastAsia="Times New Roman" w:hAnsi="Times New Roman" w:cs="Times New Roman"/>
          <w:b/>
          <w:sz w:val="22"/>
          <w:szCs w:val="22"/>
          <w:lang w:eastAsia="bs-Latn-BA"/>
        </w:rPr>
        <w:t>Presentation on the Role of Public Sector Financial Reporting and Internal Audit in Performance Budgeting and Potential Cooperation Between BCOP and Other PEMPAL COPs</w:t>
      </w:r>
      <w:bookmarkEnd w:id="16"/>
    </w:p>
    <w:p w14:paraId="5935E2AD" w14:textId="3D2A4E56" w:rsidR="00202D25" w:rsidRPr="002659A3" w:rsidRDefault="00B35CB0" w:rsidP="009E0282">
      <w:pPr>
        <w:spacing w:afterLines="80" w:after="192"/>
        <w:jc w:val="both"/>
        <w:rPr>
          <w:sz w:val="22"/>
          <w:szCs w:val="22"/>
        </w:rPr>
      </w:pPr>
      <w:r w:rsidRPr="002659A3">
        <w:rPr>
          <w:b/>
          <w:sz w:val="22"/>
          <w:szCs w:val="22"/>
        </w:rPr>
        <w:t>Arman Vatyan,</w:t>
      </w:r>
      <w:r w:rsidR="00782CD3" w:rsidRPr="002659A3">
        <w:rPr>
          <w:b/>
          <w:sz w:val="22"/>
          <w:szCs w:val="22"/>
        </w:rPr>
        <w:t xml:space="preserve"> Lead Financial Management Specialist and the PEMPAL Team Leader, </w:t>
      </w:r>
      <w:r w:rsidRPr="002659A3">
        <w:rPr>
          <w:b/>
          <w:sz w:val="22"/>
          <w:szCs w:val="22"/>
        </w:rPr>
        <w:t>World Bank</w:t>
      </w:r>
      <w:r w:rsidR="00E87081" w:rsidRPr="002659A3">
        <w:rPr>
          <w:b/>
          <w:sz w:val="22"/>
          <w:szCs w:val="22"/>
        </w:rPr>
        <w:t>,</w:t>
      </w:r>
      <w:r w:rsidRPr="002659A3">
        <w:rPr>
          <w:b/>
          <w:sz w:val="22"/>
          <w:szCs w:val="22"/>
        </w:rPr>
        <w:t xml:space="preserve"> provided an overview of the linkages between </w:t>
      </w:r>
      <w:r w:rsidR="00904120" w:rsidRPr="002659A3">
        <w:rPr>
          <w:b/>
          <w:sz w:val="22"/>
          <w:szCs w:val="22"/>
        </w:rPr>
        <w:t>performance budgeting and</w:t>
      </w:r>
      <w:r w:rsidRPr="002659A3">
        <w:rPr>
          <w:b/>
          <w:sz w:val="22"/>
          <w:szCs w:val="22"/>
        </w:rPr>
        <w:t xml:space="preserve"> internal audit </w:t>
      </w:r>
      <w:r w:rsidR="00904120" w:rsidRPr="002659A3">
        <w:rPr>
          <w:b/>
          <w:sz w:val="22"/>
          <w:szCs w:val="22"/>
        </w:rPr>
        <w:t xml:space="preserve">functions and on integrating performance budgeting into financial reporting. </w:t>
      </w:r>
      <w:r w:rsidR="009E0282" w:rsidRPr="002659A3">
        <w:rPr>
          <w:sz w:val="22"/>
          <w:szCs w:val="22"/>
        </w:rPr>
        <w:t xml:space="preserve">The introduction of </w:t>
      </w:r>
      <w:r w:rsidR="00904120" w:rsidRPr="002659A3">
        <w:rPr>
          <w:sz w:val="22"/>
          <w:szCs w:val="22"/>
        </w:rPr>
        <w:t>performance budgeting</w:t>
      </w:r>
      <w:r w:rsidR="009E0282" w:rsidRPr="002659A3">
        <w:rPr>
          <w:sz w:val="22"/>
          <w:szCs w:val="22"/>
        </w:rPr>
        <w:t xml:space="preserve"> requires strong systems of accountability and governance</w:t>
      </w:r>
      <w:r w:rsidR="00904120" w:rsidRPr="002659A3">
        <w:rPr>
          <w:sz w:val="22"/>
          <w:szCs w:val="22"/>
        </w:rPr>
        <w:t>,</w:t>
      </w:r>
      <w:r w:rsidR="009E0282" w:rsidRPr="002659A3">
        <w:rPr>
          <w:sz w:val="22"/>
          <w:szCs w:val="22"/>
        </w:rPr>
        <w:t xml:space="preserve"> which are key criteria for effective internal audit</w:t>
      </w:r>
      <w:r w:rsidR="00904120" w:rsidRPr="002659A3">
        <w:rPr>
          <w:sz w:val="22"/>
          <w:szCs w:val="22"/>
        </w:rPr>
        <w:t xml:space="preserve">, and internal audit can significantly contribute to the performance budgeting efforts. </w:t>
      </w:r>
      <w:r w:rsidR="00E87081" w:rsidRPr="002659A3">
        <w:rPr>
          <w:sz w:val="22"/>
          <w:szCs w:val="22"/>
        </w:rPr>
        <w:t>In the two</w:t>
      </w:r>
      <w:r w:rsidRPr="002659A3">
        <w:rPr>
          <w:sz w:val="22"/>
          <w:szCs w:val="22"/>
        </w:rPr>
        <w:t xml:space="preserve"> different types of budgetary control</w:t>
      </w:r>
      <w:r w:rsidR="00E87081" w:rsidRPr="002659A3">
        <w:rPr>
          <w:sz w:val="22"/>
          <w:szCs w:val="22"/>
        </w:rPr>
        <w:t>, the a</w:t>
      </w:r>
      <w:r w:rsidRPr="002659A3">
        <w:rPr>
          <w:sz w:val="22"/>
          <w:szCs w:val="22"/>
        </w:rPr>
        <w:t xml:space="preserve">nglophone </w:t>
      </w:r>
      <w:r w:rsidR="00E87081" w:rsidRPr="002659A3">
        <w:rPr>
          <w:sz w:val="22"/>
          <w:szCs w:val="22"/>
        </w:rPr>
        <w:t>and the old f</w:t>
      </w:r>
      <w:r w:rsidRPr="002659A3">
        <w:rPr>
          <w:sz w:val="22"/>
          <w:szCs w:val="22"/>
        </w:rPr>
        <w:t>rancophone model</w:t>
      </w:r>
      <w:r w:rsidR="00E87081" w:rsidRPr="002659A3">
        <w:rPr>
          <w:sz w:val="22"/>
          <w:szCs w:val="22"/>
        </w:rPr>
        <w:t xml:space="preserve">, level of accountability for results differs. </w:t>
      </w:r>
      <w:r w:rsidR="00202D25" w:rsidRPr="002659A3">
        <w:rPr>
          <w:sz w:val="22"/>
          <w:szCs w:val="22"/>
        </w:rPr>
        <w:t>In t</w:t>
      </w:r>
      <w:r w:rsidR="00E87081" w:rsidRPr="002659A3">
        <w:rPr>
          <w:sz w:val="22"/>
          <w:szCs w:val="22"/>
        </w:rPr>
        <w:t>he old francophone mode</w:t>
      </w:r>
      <w:r w:rsidR="009E0282" w:rsidRPr="002659A3">
        <w:rPr>
          <w:sz w:val="22"/>
          <w:szCs w:val="22"/>
        </w:rPr>
        <w:t>l</w:t>
      </w:r>
      <w:r w:rsidR="00E87081" w:rsidRPr="002659A3">
        <w:rPr>
          <w:sz w:val="22"/>
          <w:szCs w:val="22"/>
        </w:rPr>
        <w:t xml:space="preserve">, used in most of the ECA region, there is less flexibility for </w:t>
      </w:r>
      <w:r w:rsidR="00202D25" w:rsidRPr="002659A3">
        <w:rPr>
          <w:sz w:val="22"/>
          <w:szCs w:val="22"/>
        </w:rPr>
        <w:t>line ministers to make decisions about budget allocation to the lower organizational units in their sector (budget holders/departments). Internal audit functioned between in anglophone system, due to clearer incentives of line ministries and focus on results, as opposed to focus on budget compliance in the old francophone model. In addition, budget structure varies significantly among different countries, e.g</w:t>
      </w:r>
      <w:r w:rsidR="009E0282" w:rsidRPr="002659A3">
        <w:rPr>
          <w:sz w:val="22"/>
          <w:szCs w:val="22"/>
        </w:rPr>
        <w:t>.</w:t>
      </w:r>
      <w:r w:rsidR="00202D25" w:rsidRPr="002659A3">
        <w:rPr>
          <w:sz w:val="22"/>
          <w:szCs w:val="22"/>
        </w:rPr>
        <w:t xml:space="preserve"> there are around 500 budget holders in the UK and around 80,000 in Russia). In this overall context</w:t>
      </w:r>
      <w:r w:rsidR="009E0282" w:rsidRPr="002659A3">
        <w:rPr>
          <w:sz w:val="22"/>
          <w:szCs w:val="22"/>
        </w:rPr>
        <w:t xml:space="preserve">, in most PEMPAL countries, internal audit function (which focuses on system level) evolved from the traditional budget inspection function (which focuses on transaction level). In addition, EU member and candidate states had to implement the Public Internal Financial Control function (PIFC), with an internal control focus. Performance budgeting is one of the key reform drivers for internal audit, as it focuses on system-level improvements, organizational performance, and spending effectiveness and accountability. Internal audit can significantly contribute to the performance budgeting efforts by providing an insurance and advisory function through checking the quality of the design of performance indicators, verifying the performance data accuracy, conducting performance audits, and assisting in spending reviews and evaluations. </w:t>
      </w:r>
    </w:p>
    <w:p w14:paraId="6D788FA3" w14:textId="1D026B04" w:rsidR="00B35CB0" w:rsidRPr="002659A3" w:rsidRDefault="00904120" w:rsidP="00B35CB0">
      <w:pPr>
        <w:spacing w:afterLines="80" w:after="192"/>
        <w:jc w:val="both"/>
        <w:rPr>
          <w:sz w:val="22"/>
          <w:szCs w:val="22"/>
        </w:rPr>
      </w:pPr>
      <w:r w:rsidRPr="002659A3">
        <w:rPr>
          <w:sz w:val="22"/>
          <w:szCs w:val="22"/>
        </w:rPr>
        <w:t xml:space="preserve">A major challenge related to program and performance budgeting is related to </w:t>
      </w:r>
      <w:r w:rsidR="00A104E5" w:rsidRPr="002659A3">
        <w:rPr>
          <w:sz w:val="22"/>
          <w:szCs w:val="22"/>
        </w:rPr>
        <w:t xml:space="preserve">data integration in </w:t>
      </w:r>
      <w:r w:rsidRPr="002659A3">
        <w:rPr>
          <w:sz w:val="22"/>
          <w:szCs w:val="22"/>
        </w:rPr>
        <w:t xml:space="preserve">financial reporting, with line ministries usually running a separate reporting system for program and performance budgeting. </w:t>
      </w:r>
      <w:r w:rsidR="00A104E5" w:rsidRPr="002659A3">
        <w:rPr>
          <w:sz w:val="22"/>
          <w:szCs w:val="22"/>
        </w:rPr>
        <w:t xml:space="preserve">Another World Bank-administered network, Public Sector Accounting and Reporting (PULSAR) Program, recently published A Good Practice Outline of the Multipurpose Chart of Accounts </w:t>
      </w:r>
      <w:r w:rsidR="00A104E5" w:rsidRPr="002659A3">
        <w:rPr>
          <w:sz w:val="22"/>
          <w:szCs w:val="22"/>
        </w:rPr>
        <w:lastRenderedPageBreak/>
        <w:t>(MCoA). The paper provides one solution to integrating charts of accounts used for various reporting purposes – IPSAS-based financial statements, GFS based financial statements, budgetary reporting, performance reporting, and management reporting.</w:t>
      </w:r>
      <w:r w:rsidR="00B35CB0" w:rsidRPr="002659A3">
        <w:rPr>
          <w:sz w:val="22"/>
          <w:szCs w:val="22"/>
        </w:rPr>
        <w:t xml:space="preserve"> </w:t>
      </w:r>
      <w:r w:rsidR="00743E60" w:rsidRPr="002659A3">
        <w:rPr>
          <w:sz w:val="22"/>
          <w:szCs w:val="22"/>
        </w:rPr>
        <w:t>Such MCoA</w:t>
      </w:r>
      <w:r w:rsidR="00B35CB0" w:rsidRPr="002659A3">
        <w:rPr>
          <w:sz w:val="22"/>
          <w:szCs w:val="22"/>
        </w:rPr>
        <w:t xml:space="preserve"> can extract all costs associated with a specific sector,</w:t>
      </w:r>
      <w:r w:rsidR="00743E60" w:rsidRPr="002659A3">
        <w:rPr>
          <w:sz w:val="22"/>
          <w:szCs w:val="22"/>
        </w:rPr>
        <w:t xml:space="preserve"> program, or performance </w:t>
      </w:r>
      <w:r w:rsidR="00B35CB0" w:rsidRPr="002659A3">
        <w:rPr>
          <w:sz w:val="22"/>
          <w:szCs w:val="22"/>
        </w:rPr>
        <w:t xml:space="preserve">indicator, which could </w:t>
      </w:r>
      <w:r w:rsidR="00743E60" w:rsidRPr="002659A3">
        <w:rPr>
          <w:sz w:val="22"/>
          <w:szCs w:val="22"/>
        </w:rPr>
        <w:t xml:space="preserve">also </w:t>
      </w:r>
      <w:r w:rsidR="00B35CB0" w:rsidRPr="002659A3">
        <w:rPr>
          <w:sz w:val="22"/>
          <w:szCs w:val="22"/>
        </w:rPr>
        <w:t xml:space="preserve">be useful for supporting </w:t>
      </w:r>
      <w:r w:rsidR="00743E60" w:rsidRPr="002659A3">
        <w:rPr>
          <w:sz w:val="22"/>
          <w:szCs w:val="22"/>
        </w:rPr>
        <w:t>spending reviews and evaluations</w:t>
      </w:r>
      <w:r w:rsidR="00B35CB0" w:rsidRPr="002659A3">
        <w:rPr>
          <w:sz w:val="22"/>
          <w:szCs w:val="22"/>
        </w:rPr>
        <w:t>. IPSAS also issues recommended practice guidelines which provides guidance on reporting service performance information under good practice financial reports, which could also assist</w:t>
      </w:r>
      <w:r w:rsidR="00743E60" w:rsidRPr="002659A3">
        <w:rPr>
          <w:sz w:val="22"/>
          <w:szCs w:val="22"/>
        </w:rPr>
        <w:t xml:space="preserve"> PEMPAL countries</w:t>
      </w:r>
      <w:r w:rsidR="00B35CB0" w:rsidRPr="002659A3">
        <w:rPr>
          <w:sz w:val="22"/>
          <w:szCs w:val="22"/>
        </w:rPr>
        <w:t>.</w:t>
      </w:r>
    </w:p>
    <w:p w14:paraId="3B2A6D92" w14:textId="799A8C09" w:rsidR="00B25262" w:rsidRPr="002659A3" w:rsidRDefault="00B25262" w:rsidP="00743E60">
      <w:pPr>
        <w:pStyle w:val="Heading1"/>
        <w:numPr>
          <w:ilvl w:val="0"/>
          <w:numId w:val="47"/>
        </w:numPr>
        <w:spacing w:before="0" w:afterLines="80" w:after="192" w:line="240" w:lineRule="auto"/>
        <w:ind w:left="450"/>
        <w:rPr>
          <w:rFonts w:ascii="Times New Roman" w:eastAsia="Times New Roman" w:hAnsi="Times New Roman" w:cs="Times New Roman"/>
          <w:b/>
          <w:sz w:val="22"/>
          <w:szCs w:val="22"/>
          <w:lang w:eastAsia="bs-Latn-BA"/>
        </w:rPr>
      </w:pPr>
      <w:bookmarkStart w:id="17" w:name="_Toc24897639"/>
      <w:r w:rsidRPr="002659A3">
        <w:rPr>
          <w:rFonts w:ascii="Times New Roman" w:eastAsia="Times New Roman" w:hAnsi="Times New Roman" w:cs="Times New Roman"/>
          <w:b/>
          <w:sz w:val="22"/>
          <w:szCs w:val="22"/>
          <w:lang w:eastAsia="bs-Latn-BA"/>
        </w:rPr>
        <w:t>Roundtable Work of BCOP Working Groups on Knowledge Products</w:t>
      </w:r>
      <w:bookmarkEnd w:id="17"/>
      <w:r w:rsidRPr="002659A3">
        <w:rPr>
          <w:rFonts w:ascii="Times New Roman" w:eastAsia="Times New Roman" w:hAnsi="Times New Roman" w:cs="Times New Roman"/>
          <w:b/>
          <w:sz w:val="22"/>
          <w:szCs w:val="22"/>
          <w:lang w:eastAsia="bs-Latn-BA"/>
        </w:rPr>
        <w:t xml:space="preserve"> </w:t>
      </w:r>
    </w:p>
    <w:p w14:paraId="65BA535A" w14:textId="77777777" w:rsidR="00B25262" w:rsidRPr="002659A3" w:rsidRDefault="00B25262" w:rsidP="00B25262">
      <w:pPr>
        <w:pStyle w:val="Heading1"/>
        <w:spacing w:before="0" w:afterLines="80" w:after="192" w:line="240" w:lineRule="auto"/>
        <w:rPr>
          <w:rFonts w:ascii="Times New Roman" w:eastAsia="Times New Roman" w:hAnsi="Times New Roman" w:cs="Times New Roman"/>
          <w:b/>
          <w:sz w:val="22"/>
          <w:szCs w:val="22"/>
          <w:lang w:eastAsia="bs-Latn-BA"/>
        </w:rPr>
      </w:pPr>
      <w:bookmarkStart w:id="18" w:name="_Toc24897640"/>
      <w:r w:rsidRPr="002659A3">
        <w:rPr>
          <w:rFonts w:ascii="Times New Roman" w:hAnsi="Times New Roman" w:cs="Times New Roman"/>
          <w:b/>
          <w:bCs/>
          <w:color w:val="538135" w:themeColor="accent6" w:themeShade="BF"/>
          <w:sz w:val="22"/>
          <w:szCs w:val="22"/>
        </w:rPr>
        <w:t>BLTWG Knowledge Products</w:t>
      </w:r>
      <w:bookmarkEnd w:id="18"/>
      <w:r w:rsidRPr="002659A3">
        <w:rPr>
          <w:rFonts w:ascii="Times New Roman" w:hAnsi="Times New Roman" w:cs="Times New Roman"/>
          <w:b/>
          <w:bCs/>
          <w:color w:val="538135" w:themeColor="accent6" w:themeShade="BF"/>
          <w:sz w:val="22"/>
          <w:szCs w:val="22"/>
        </w:rPr>
        <w:t xml:space="preserve"> </w:t>
      </w:r>
    </w:p>
    <w:p w14:paraId="381C9151" w14:textId="77777777" w:rsidR="00B25262" w:rsidRPr="002659A3" w:rsidRDefault="00B25262" w:rsidP="00377538">
      <w:pPr>
        <w:jc w:val="both"/>
        <w:rPr>
          <w:bCs/>
          <w:sz w:val="22"/>
          <w:szCs w:val="22"/>
        </w:rPr>
      </w:pPr>
      <w:r w:rsidRPr="002659A3">
        <w:rPr>
          <w:b/>
          <w:sz w:val="22"/>
          <w:szCs w:val="22"/>
        </w:rPr>
        <w:t xml:space="preserve">Participants worked on advancing the BLTWG knowledge product on </w:t>
      </w:r>
      <w:r w:rsidRPr="002659A3">
        <w:rPr>
          <w:b/>
          <w:i/>
          <w:sz w:val="22"/>
          <w:szCs w:val="22"/>
        </w:rPr>
        <w:t>Public Participation in Fiscal Policy and the Budget Process–Establishing and/or Strengthening Mechanisms in PEMPAL Countries</w:t>
      </w:r>
      <w:r w:rsidRPr="002659A3">
        <w:rPr>
          <w:bCs/>
          <w:sz w:val="22"/>
          <w:szCs w:val="22"/>
        </w:rPr>
        <w:t>, which was circulated prior to event in its first draft</w:t>
      </w:r>
      <w:r w:rsidRPr="002659A3">
        <w:rPr>
          <w:sz w:val="22"/>
          <w:szCs w:val="22"/>
        </w:rPr>
        <w:t>.</w:t>
      </w:r>
      <w:r w:rsidRPr="002659A3">
        <w:rPr>
          <w:b/>
          <w:sz w:val="22"/>
          <w:szCs w:val="22"/>
        </w:rPr>
        <w:t xml:space="preserve"> </w:t>
      </w:r>
      <w:r w:rsidRPr="002659A3">
        <w:rPr>
          <w:bCs/>
          <w:sz w:val="22"/>
          <w:szCs w:val="22"/>
        </w:rPr>
        <w:t xml:space="preserve">Ms. Deanna Aubrey from the BCOP Resource Team presented the main recommendations from the draft report and noted that the </w:t>
      </w:r>
      <w:r w:rsidRPr="002659A3">
        <w:rPr>
          <w:sz w:val="22"/>
          <w:szCs w:val="22"/>
        </w:rPr>
        <w:t>first draft was completed including latest assessments by GIFT, IBP and others and she thanked the member countries for their work and inputs to this report, particularly the six countries who comprehensively documented their public participation reforms through the survey conducted within the work on this knowledge product</w:t>
      </w:r>
      <w:r w:rsidRPr="002659A3">
        <w:rPr>
          <w:bCs/>
          <w:sz w:val="22"/>
          <w:szCs w:val="22"/>
        </w:rPr>
        <w:t xml:space="preserve">. A suggested road map for PEMPAL countries for implementing public participation approaches has been included in the knowledge product, drawn from international and regional advice. It includes the options for member countries to: </w:t>
      </w:r>
    </w:p>
    <w:p w14:paraId="3AFFA04D" w14:textId="77777777" w:rsidR="00B25262" w:rsidRPr="002659A3" w:rsidRDefault="00B25262" w:rsidP="00377538">
      <w:pPr>
        <w:pStyle w:val="ListParagraph"/>
        <w:numPr>
          <w:ilvl w:val="0"/>
          <w:numId w:val="27"/>
        </w:numPr>
        <w:contextualSpacing w:val="0"/>
        <w:jc w:val="both"/>
        <w:rPr>
          <w:sz w:val="22"/>
          <w:szCs w:val="22"/>
        </w:rPr>
      </w:pPr>
      <w:r w:rsidRPr="002659A3">
        <w:rPr>
          <w:sz w:val="22"/>
          <w:szCs w:val="22"/>
        </w:rPr>
        <w:t>document and compare their public participation mechanisms with those identified by IBP and GIFT as good practice;</w:t>
      </w:r>
    </w:p>
    <w:p w14:paraId="7BB57592" w14:textId="77777777" w:rsidR="00B25262" w:rsidRPr="002659A3" w:rsidRDefault="00B25262" w:rsidP="00B25262">
      <w:pPr>
        <w:pStyle w:val="ListParagraph"/>
        <w:numPr>
          <w:ilvl w:val="0"/>
          <w:numId w:val="27"/>
        </w:numPr>
        <w:contextualSpacing w:val="0"/>
        <w:jc w:val="both"/>
        <w:rPr>
          <w:sz w:val="22"/>
          <w:szCs w:val="22"/>
        </w:rPr>
      </w:pPr>
      <w:r w:rsidRPr="002659A3">
        <w:rPr>
          <w:sz w:val="22"/>
          <w:szCs w:val="22"/>
        </w:rPr>
        <w:t xml:space="preserve">establish/strengthen the legal framework to support systematic and transparent participation of citizens (as several PEMPAL countries have already done); </w:t>
      </w:r>
    </w:p>
    <w:p w14:paraId="7B6C6CCE" w14:textId="77777777" w:rsidR="00B25262" w:rsidRPr="002659A3" w:rsidRDefault="00B25262" w:rsidP="00B25262">
      <w:pPr>
        <w:numPr>
          <w:ilvl w:val="0"/>
          <w:numId w:val="27"/>
        </w:numPr>
        <w:jc w:val="both"/>
        <w:rPr>
          <w:sz w:val="22"/>
          <w:szCs w:val="22"/>
        </w:rPr>
      </w:pPr>
      <w:r w:rsidRPr="002659A3">
        <w:rPr>
          <w:sz w:val="22"/>
          <w:szCs w:val="22"/>
        </w:rPr>
        <w:t>develop/strengthen the budget communication strategy, including clearly documenting the budget calendar, and key stages where citizens/CSOs can get involved (e.g. formulation, approval, execution and audit);</w:t>
      </w:r>
    </w:p>
    <w:p w14:paraId="099703F7" w14:textId="5175B6CC" w:rsidR="00B25262" w:rsidRPr="002659A3" w:rsidRDefault="00B25262" w:rsidP="00B25262">
      <w:pPr>
        <w:numPr>
          <w:ilvl w:val="0"/>
          <w:numId w:val="27"/>
        </w:numPr>
        <w:jc w:val="both"/>
        <w:rPr>
          <w:sz w:val="22"/>
          <w:szCs w:val="22"/>
        </w:rPr>
      </w:pPr>
      <w:r w:rsidRPr="002659A3">
        <w:rPr>
          <w:sz w:val="22"/>
          <w:szCs w:val="22"/>
        </w:rPr>
        <w:t xml:space="preserve">ensure all eight key budget documents are </w:t>
      </w:r>
      <w:r w:rsidR="00377538" w:rsidRPr="002659A3">
        <w:rPr>
          <w:sz w:val="22"/>
          <w:szCs w:val="22"/>
        </w:rPr>
        <w:t>publicly</w:t>
      </w:r>
      <w:r w:rsidRPr="002659A3">
        <w:rPr>
          <w:sz w:val="22"/>
          <w:szCs w:val="22"/>
        </w:rPr>
        <w:t xml:space="preserve"> available on the website or portal and are in readable format that can be reused;</w:t>
      </w:r>
    </w:p>
    <w:p w14:paraId="017FC837" w14:textId="77777777" w:rsidR="00B25262" w:rsidRPr="002659A3" w:rsidRDefault="00B25262" w:rsidP="00B25262">
      <w:pPr>
        <w:numPr>
          <w:ilvl w:val="0"/>
          <w:numId w:val="27"/>
        </w:numPr>
        <w:jc w:val="both"/>
        <w:rPr>
          <w:sz w:val="22"/>
          <w:szCs w:val="22"/>
        </w:rPr>
      </w:pPr>
      <w:r w:rsidRPr="002659A3">
        <w:rPr>
          <w:sz w:val="22"/>
          <w:szCs w:val="22"/>
        </w:rPr>
        <w:t>determine objectives and desired impact of any consultation (using the IAP2 spectrum ranging from ‘Inform’ to ‘Empower’) and if requesting feedback, ensure the feedback loop is closed and provide timely responses on how citizen feedback was used;</w:t>
      </w:r>
    </w:p>
    <w:p w14:paraId="1E30A346" w14:textId="77777777" w:rsidR="00B25262" w:rsidRPr="002659A3" w:rsidRDefault="00B25262" w:rsidP="00B25262">
      <w:pPr>
        <w:numPr>
          <w:ilvl w:val="0"/>
          <w:numId w:val="27"/>
        </w:numPr>
        <w:jc w:val="both"/>
        <w:rPr>
          <w:sz w:val="22"/>
          <w:szCs w:val="22"/>
        </w:rPr>
      </w:pPr>
      <w:r w:rsidRPr="002659A3">
        <w:rPr>
          <w:sz w:val="22"/>
          <w:szCs w:val="22"/>
        </w:rPr>
        <w:t>maximize use of ICT tools to gain feedback from a wider range of citizens (with additional efforts made to target vulnerable and marginalized groups);</w:t>
      </w:r>
    </w:p>
    <w:p w14:paraId="4AF47E3C" w14:textId="77777777" w:rsidR="00B25262" w:rsidRPr="002659A3" w:rsidRDefault="00B25262" w:rsidP="00B25262">
      <w:pPr>
        <w:numPr>
          <w:ilvl w:val="0"/>
          <w:numId w:val="27"/>
        </w:numPr>
        <w:jc w:val="both"/>
        <w:rPr>
          <w:sz w:val="22"/>
          <w:szCs w:val="22"/>
        </w:rPr>
      </w:pPr>
      <w:r w:rsidRPr="002659A3">
        <w:rPr>
          <w:sz w:val="22"/>
          <w:szCs w:val="22"/>
        </w:rPr>
        <w:t>use citizens’ budget as a consultation mechanism (e.g. engage schools/universities in competitions for best design; hold public meetings with budget related CSOs/journalists on its content/scope);</w:t>
      </w:r>
    </w:p>
    <w:p w14:paraId="209BA5EB" w14:textId="77777777" w:rsidR="00B25262" w:rsidRPr="002659A3" w:rsidRDefault="00B25262" w:rsidP="00B25262">
      <w:pPr>
        <w:numPr>
          <w:ilvl w:val="0"/>
          <w:numId w:val="27"/>
        </w:numPr>
        <w:jc w:val="both"/>
        <w:rPr>
          <w:sz w:val="22"/>
          <w:szCs w:val="22"/>
        </w:rPr>
      </w:pPr>
      <w:r w:rsidRPr="002659A3">
        <w:rPr>
          <w:sz w:val="22"/>
          <w:szCs w:val="22"/>
        </w:rPr>
        <w:t>if capacity of the CSO and/or the media sector is still developing, offer training on how to analyze and report on budget information (in partnership with universities, training institutes, or any CSOs with capacity);</w:t>
      </w:r>
    </w:p>
    <w:p w14:paraId="0E38E990" w14:textId="77777777" w:rsidR="00B25262" w:rsidRPr="002659A3" w:rsidRDefault="00B25262" w:rsidP="00B25262">
      <w:pPr>
        <w:numPr>
          <w:ilvl w:val="0"/>
          <w:numId w:val="27"/>
        </w:numPr>
        <w:jc w:val="both"/>
        <w:rPr>
          <w:sz w:val="22"/>
          <w:szCs w:val="22"/>
        </w:rPr>
      </w:pPr>
      <w:r w:rsidRPr="002659A3">
        <w:rPr>
          <w:sz w:val="22"/>
          <w:szCs w:val="22"/>
        </w:rPr>
        <w:t>consider initiatives (using Russian experience a as a guide) to increase budget; and</w:t>
      </w:r>
    </w:p>
    <w:p w14:paraId="3864EDD7" w14:textId="77777777" w:rsidR="00B25262" w:rsidRPr="002659A3" w:rsidRDefault="00B25262" w:rsidP="00B25262">
      <w:pPr>
        <w:numPr>
          <w:ilvl w:val="0"/>
          <w:numId w:val="27"/>
        </w:numPr>
        <w:jc w:val="both"/>
        <w:rPr>
          <w:sz w:val="22"/>
          <w:szCs w:val="22"/>
        </w:rPr>
      </w:pPr>
      <w:r w:rsidRPr="002659A3">
        <w:rPr>
          <w:sz w:val="22"/>
          <w:szCs w:val="22"/>
        </w:rPr>
        <w:t xml:space="preserve">consider using public participation mechanisms outside the budget process (e.g. tax reviews as used by New Zealand and Belarus).  </w:t>
      </w:r>
    </w:p>
    <w:p w14:paraId="1305113F" w14:textId="77777777" w:rsidR="00B25262" w:rsidRPr="002659A3" w:rsidRDefault="00B25262" w:rsidP="00B25262">
      <w:pPr>
        <w:ind w:left="720"/>
        <w:jc w:val="both"/>
        <w:rPr>
          <w:sz w:val="22"/>
          <w:szCs w:val="22"/>
        </w:rPr>
      </w:pPr>
    </w:p>
    <w:p w14:paraId="447363F2" w14:textId="77777777" w:rsidR="00B25262" w:rsidRPr="002659A3" w:rsidRDefault="00B25262" w:rsidP="00B25262">
      <w:pPr>
        <w:spacing w:afterLines="80" w:after="192"/>
        <w:jc w:val="both"/>
        <w:rPr>
          <w:sz w:val="22"/>
          <w:szCs w:val="22"/>
        </w:rPr>
      </w:pPr>
      <w:r w:rsidRPr="002659A3">
        <w:rPr>
          <w:b/>
          <w:sz w:val="22"/>
          <w:szCs w:val="22"/>
        </w:rPr>
        <w:t>Next steps on finalizing this knowledge product were discussed, as well as future work of the BLTWG.</w:t>
      </w:r>
      <w:r w:rsidRPr="002659A3">
        <w:rPr>
          <w:bCs/>
          <w:sz w:val="22"/>
          <w:szCs w:val="22"/>
        </w:rPr>
        <w:t xml:space="preserve"> </w:t>
      </w:r>
      <w:r w:rsidRPr="002659A3">
        <w:rPr>
          <w:sz w:val="22"/>
          <w:szCs w:val="22"/>
        </w:rPr>
        <w:t xml:space="preserve">Each participating BCOP country provided remarks on their recent developments in BLTWG thematic areas and provided some feedback on the draft BLWTG knowledge product. </w:t>
      </w:r>
      <w:r w:rsidRPr="002659A3">
        <w:rPr>
          <w:bCs/>
          <w:sz w:val="22"/>
          <w:szCs w:val="22"/>
        </w:rPr>
        <w:t>Member countries noted that this knowledge product is comprehensive and will be very useful for BCOP countries. As in several countries additional new initiatives have been designed and implemented recently, in the time since the survey conducted for this knowledge products, it was agreed that the countries would provide additional comments and updated country information for this knowledge products until end-December 2019.</w:t>
      </w:r>
      <w:r w:rsidRPr="002659A3">
        <w:rPr>
          <w:sz w:val="22"/>
          <w:szCs w:val="22"/>
        </w:rPr>
        <w:t xml:space="preserve"> </w:t>
      </w:r>
      <w:r w:rsidRPr="002659A3">
        <w:rPr>
          <w:bCs/>
          <w:sz w:val="22"/>
          <w:szCs w:val="22"/>
        </w:rPr>
        <w:t>The BCOP countries noted that the knowledge product is a useful technical reference to support their future and ongoing reforms and several countries agreed to share their approaches</w:t>
      </w:r>
      <w:r w:rsidRPr="002659A3">
        <w:rPr>
          <w:sz w:val="22"/>
          <w:szCs w:val="22"/>
        </w:rPr>
        <w:t xml:space="preserve"> (e.g. Uzbekistan to share approach </w:t>
      </w:r>
      <w:r w:rsidRPr="002659A3">
        <w:rPr>
          <w:sz w:val="22"/>
          <w:szCs w:val="22"/>
        </w:rPr>
        <w:lastRenderedPageBreak/>
        <w:t xml:space="preserve">used by Ministry of Finance training center with Moldova who is currently establishing such a center; Croatia to share approach to including public participation in the new budget code and the template for budget circular 2020-22 which includes guidance to line ministries on public participation; and Russia to share its experiences on using participatory budgeting mechanisms). Other potential future work of the BLTWG on public participation was also discussed, given that the PEMPAL region only scored 12/100 in the public participation component of the IBP’s 2017 Open Budget Survey (equal to the global average). For example, country level action plans could be developed based on improving results from IBP 2017/planned 2019 public participation results, in partnership with GIFT.  </w:t>
      </w:r>
    </w:p>
    <w:p w14:paraId="19CE0E63" w14:textId="77777777" w:rsidR="00B25262" w:rsidRPr="002659A3" w:rsidRDefault="00B25262" w:rsidP="00B25262">
      <w:pPr>
        <w:pStyle w:val="Heading3"/>
        <w:spacing w:before="0" w:afterLines="80" w:after="192" w:line="240" w:lineRule="auto"/>
        <w:rPr>
          <w:rFonts w:ascii="Times New Roman" w:hAnsi="Times New Roman" w:cs="Times New Roman"/>
          <w:b/>
          <w:color w:val="538135" w:themeColor="accent6" w:themeShade="BF"/>
          <w:sz w:val="22"/>
          <w:szCs w:val="22"/>
        </w:rPr>
      </w:pPr>
      <w:bookmarkStart w:id="19" w:name="_Toc24712164"/>
      <w:bookmarkStart w:id="20" w:name="_Toc24897641"/>
      <w:r w:rsidRPr="002659A3">
        <w:rPr>
          <w:rFonts w:ascii="Times New Roman" w:hAnsi="Times New Roman" w:cs="Times New Roman"/>
          <w:b/>
          <w:color w:val="538135" w:themeColor="accent6" w:themeShade="BF"/>
          <w:sz w:val="22"/>
          <w:szCs w:val="22"/>
        </w:rPr>
        <w:t>PPBWG Knowledge Products</w:t>
      </w:r>
      <w:bookmarkEnd w:id="19"/>
      <w:bookmarkEnd w:id="20"/>
    </w:p>
    <w:p w14:paraId="110AACC8" w14:textId="7DF1AD3D" w:rsidR="00B25262" w:rsidRPr="002659A3" w:rsidRDefault="00B25262" w:rsidP="00377538">
      <w:pPr>
        <w:pStyle w:val="NoSpacing"/>
        <w:jc w:val="both"/>
        <w:rPr>
          <w:rFonts w:ascii="Times New Roman" w:eastAsia="Times New Roman" w:hAnsi="Times New Roman" w:cs="Times New Roman"/>
        </w:rPr>
      </w:pPr>
      <w:r w:rsidRPr="002659A3">
        <w:rPr>
          <w:rFonts w:ascii="Times New Roman" w:eastAsia="Times New Roman" w:hAnsi="Times New Roman" w:cs="Times New Roman"/>
          <w:b/>
        </w:rPr>
        <w:t xml:space="preserve">Participants worked on advancing the PPBWG knowledge product on </w:t>
      </w:r>
      <w:r w:rsidRPr="002659A3">
        <w:rPr>
          <w:rFonts w:ascii="Times New Roman" w:eastAsia="Times New Roman" w:hAnsi="Times New Roman" w:cs="Times New Roman"/>
          <w:b/>
          <w:bCs/>
          <w:i/>
        </w:rPr>
        <w:t>Performance Budgeting and Spending Reviews in PEMPAL Countries: Current Practices, Challenges, and Recommendations</w:t>
      </w:r>
      <w:r w:rsidRPr="002659A3">
        <w:rPr>
          <w:rFonts w:ascii="Times New Roman" w:eastAsia="Times New Roman" w:hAnsi="Times New Roman" w:cs="Times New Roman"/>
          <w:b/>
        </w:rPr>
        <w:t xml:space="preserve">, </w:t>
      </w:r>
      <w:r w:rsidRPr="002659A3">
        <w:rPr>
          <w:rFonts w:ascii="Times New Roman" w:eastAsia="Times New Roman" w:hAnsi="Times New Roman" w:cs="Times New Roman"/>
        </w:rPr>
        <w:t>which was circulated prior to event in its current draft</w:t>
      </w:r>
      <w:r w:rsidRPr="002659A3">
        <w:rPr>
          <w:rFonts w:ascii="Times New Roman" w:eastAsia="Times New Roman" w:hAnsi="Times New Roman" w:cs="Times New Roman"/>
          <w:b/>
        </w:rPr>
        <w:t xml:space="preserve"> </w:t>
      </w:r>
      <w:r w:rsidRPr="002659A3">
        <w:rPr>
          <w:rFonts w:ascii="Times New Roman" w:eastAsia="Times New Roman" w:hAnsi="Times New Roman" w:cs="Times New Roman"/>
          <w:bCs/>
        </w:rPr>
        <w:t>(which already incorporated comments of the PPBWG leadership on the first draft).</w:t>
      </w:r>
      <w:r w:rsidRPr="002659A3">
        <w:rPr>
          <w:rFonts w:ascii="Times New Roman" w:eastAsia="Times New Roman" w:hAnsi="Times New Roman" w:cs="Times New Roman"/>
          <w:b/>
        </w:rPr>
        <w:t xml:space="preserve"> </w:t>
      </w:r>
      <w:r w:rsidRPr="002659A3">
        <w:rPr>
          <w:rFonts w:ascii="Times New Roman" w:eastAsia="Times New Roman" w:hAnsi="Times New Roman" w:cs="Times New Roman"/>
        </w:rPr>
        <w:t xml:space="preserve">Ms. Naida Čaršimamović Vukotić from the BCOP Resource Team presented the summary of eighteen detailed recommendations </w:t>
      </w:r>
      <w:r w:rsidRPr="002659A3">
        <w:rPr>
          <w:rFonts w:ascii="Times New Roman" w:eastAsia="Times New Roman" w:hAnsi="Times New Roman" w:cs="Times New Roman"/>
          <w:bCs/>
        </w:rPr>
        <w:t>and food for thought for PEMPAL countries in what to take into consideratio</w:t>
      </w:r>
      <w:r w:rsidR="00FB3D39" w:rsidRPr="002659A3">
        <w:rPr>
          <w:rFonts w:ascii="Times New Roman" w:eastAsia="Times New Roman" w:hAnsi="Times New Roman" w:cs="Times New Roman"/>
          <w:bCs/>
        </w:rPr>
        <w:t>n</w:t>
      </w:r>
      <w:r w:rsidRPr="002659A3">
        <w:rPr>
          <w:rFonts w:ascii="Times New Roman" w:eastAsia="Times New Roman" w:hAnsi="Times New Roman" w:cs="Times New Roman"/>
          <w:bCs/>
        </w:rPr>
        <w:t>s in their performance budgeting and spending review systems. These are organized around the seven areas of good practices in performance budgeting recommended by the OECD and based on based on the results of BCOP countries in the 2018 OECD Performance Budgeting Survey and internal BCOP 2019 survey on spending reviews, as well as the overall work and discussions held within PPBWG over the recent years, and</w:t>
      </w:r>
      <w:r w:rsidRPr="002659A3">
        <w:rPr>
          <w:rFonts w:ascii="Times New Roman" w:eastAsia="Times New Roman" w:hAnsi="Times New Roman" w:cs="Times New Roman"/>
        </w:rPr>
        <w:t xml:space="preserve"> include:</w:t>
      </w:r>
    </w:p>
    <w:p w14:paraId="61932CB3" w14:textId="77777777" w:rsidR="00B25262" w:rsidRPr="002659A3" w:rsidRDefault="00B25262" w:rsidP="00377538">
      <w:pPr>
        <w:numPr>
          <w:ilvl w:val="0"/>
          <w:numId w:val="33"/>
        </w:numPr>
        <w:ind w:left="360" w:hanging="180"/>
        <w:jc w:val="both"/>
        <w:rPr>
          <w:sz w:val="22"/>
          <w:szCs w:val="22"/>
        </w:rPr>
      </w:pPr>
      <w:r w:rsidRPr="002659A3">
        <w:rPr>
          <w:sz w:val="22"/>
          <w:szCs w:val="22"/>
        </w:rPr>
        <w:t>a strong legislative basis for program and performance budgeting (PPB) with wide performance frameworks and guidelines, ensuring clear and adequate objectives and uses;</w:t>
      </w:r>
    </w:p>
    <w:p w14:paraId="6626CA22" w14:textId="77777777" w:rsidR="00B25262" w:rsidRPr="002659A3" w:rsidRDefault="00B25262" w:rsidP="00743E60">
      <w:pPr>
        <w:numPr>
          <w:ilvl w:val="0"/>
          <w:numId w:val="33"/>
        </w:numPr>
        <w:ind w:left="360" w:hanging="180"/>
        <w:jc w:val="both"/>
        <w:rPr>
          <w:sz w:val="22"/>
          <w:szCs w:val="22"/>
        </w:rPr>
      </w:pPr>
      <w:r w:rsidRPr="002659A3">
        <w:rPr>
          <w:sz w:val="22"/>
          <w:szCs w:val="22"/>
        </w:rPr>
        <w:t>PPB reforms not being championed only by the MF and the civil service, but rather by political leadership more widely, including preferably across government branches;</w:t>
      </w:r>
    </w:p>
    <w:p w14:paraId="792564E5" w14:textId="77777777" w:rsidR="00B25262" w:rsidRPr="002659A3" w:rsidRDefault="00B25262" w:rsidP="00743E60">
      <w:pPr>
        <w:numPr>
          <w:ilvl w:val="0"/>
          <w:numId w:val="33"/>
        </w:numPr>
        <w:ind w:left="360" w:hanging="180"/>
        <w:jc w:val="both"/>
        <w:rPr>
          <w:sz w:val="22"/>
          <w:szCs w:val="22"/>
        </w:rPr>
      </w:pPr>
      <w:r w:rsidRPr="002659A3">
        <w:rPr>
          <w:sz w:val="22"/>
          <w:szCs w:val="22"/>
        </w:rPr>
        <w:t>clear and strong connection with strategic planning;</w:t>
      </w:r>
    </w:p>
    <w:p w14:paraId="2A9CB0A2" w14:textId="77777777" w:rsidR="00B25262" w:rsidRPr="002659A3" w:rsidRDefault="00B25262" w:rsidP="00743E60">
      <w:pPr>
        <w:numPr>
          <w:ilvl w:val="0"/>
          <w:numId w:val="33"/>
        </w:numPr>
        <w:ind w:left="360" w:hanging="180"/>
        <w:jc w:val="both"/>
        <w:rPr>
          <w:sz w:val="22"/>
          <w:szCs w:val="22"/>
        </w:rPr>
      </w:pPr>
      <w:r w:rsidRPr="002659A3">
        <w:rPr>
          <w:sz w:val="22"/>
          <w:szCs w:val="22"/>
        </w:rPr>
        <w:t>PIs determined based on their usability in decision-making and directly connected to national and sectoral strategic planning documents and programs of individual ministries and agencies;</w:t>
      </w:r>
    </w:p>
    <w:p w14:paraId="5831120A" w14:textId="77777777" w:rsidR="00B25262" w:rsidRPr="002659A3" w:rsidRDefault="00B25262" w:rsidP="00743E60">
      <w:pPr>
        <w:numPr>
          <w:ilvl w:val="0"/>
          <w:numId w:val="33"/>
        </w:numPr>
        <w:ind w:left="360" w:hanging="180"/>
        <w:jc w:val="both"/>
        <w:rPr>
          <w:sz w:val="22"/>
          <w:szCs w:val="22"/>
        </w:rPr>
      </w:pPr>
      <w:r w:rsidRPr="002659A3">
        <w:rPr>
          <w:sz w:val="22"/>
          <w:szCs w:val="22"/>
        </w:rPr>
        <w:t>additional attention to cross-institutional, government-wide objectives needed, including careful consideration in designing and monitoring cross-cutting PIs;</w:t>
      </w:r>
    </w:p>
    <w:p w14:paraId="6D8DE5A4" w14:textId="77777777" w:rsidR="00B25262" w:rsidRPr="002659A3" w:rsidRDefault="00B25262" w:rsidP="00743E60">
      <w:pPr>
        <w:numPr>
          <w:ilvl w:val="0"/>
          <w:numId w:val="33"/>
        </w:numPr>
        <w:ind w:left="360" w:hanging="180"/>
        <w:jc w:val="both"/>
        <w:rPr>
          <w:sz w:val="22"/>
          <w:szCs w:val="22"/>
        </w:rPr>
      </w:pPr>
      <w:r w:rsidRPr="002659A3">
        <w:rPr>
          <w:sz w:val="22"/>
          <w:szCs w:val="22"/>
        </w:rPr>
        <w:t>balance between ensuring standardization and coverage of all expenditure by PPB and ensuring flexibility (PIs defined for all programs, however, can vary in type and usage);</w:t>
      </w:r>
    </w:p>
    <w:p w14:paraId="77AFC6E0" w14:textId="77777777" w:rsidR="00B25262" w:rsidRPr="002659A3" w:rsidRDefault="00B25262" w:rsidP="00743E60">
      <w:pPr>
        <w:numPr>
          <w:ilvl w:val="0"/>
          <w:numId w:val="33"/>
        </w:numPr>
        <w:ind w:left="360" w:hanging="180"/>
        <w:jc w:val="both"/>
        <w:rPr>
          <w:sz w:val="22"/>
          <w:szCs w:val="22"/>
        </w:rPr>
      </w:pPr>
      <w:r w:rsidRPr="002659A3">
        <w:rPr>
          <w:sz w:val="22"/>
          <w:szCs w:val="22"/>
        </w:rPr>
        <w:t>programs and PIs designed around expected outcomes, but recommended to indicate the ways in which programs are connected to institutions/departments for accountability purposes;</w:t>
      </w:r>
    </w:p>
    <w:p w14:paraId="2D6D7AC9" w14:textId="77777777" w:rsidR="00B25262" w:rsidRPr="002659A3" w:rsidRDefault="00B25262" w:rsidP="00743E60">
      <w:pPr>
        <w:numPr>
          <w:ilvl w:val="0"/>
          <w:numId w:val="33"/>
        </w:numPr>
        <w:ind w:left="360" w:hanging="180"/>
        <w:jc w:val="both"/>
        <w:rPr>
          <w:sz w:val="22"/>
          <w:szCs w:val="22"/>
        </w:rPr>
      </w:pPr>
      <w:r w:rsidRPr="002659A3">
        <w:rPr>
          <w:sz w:val="22"/>
          <w:szCs w:val="22"/>
        </w:rPr>
        <w:t>PIs should be small in number for each program, clear, allowing of tracking against targets and international benchmarks where possible, and linked with government-wide strategic objectives; while PIs measuring outputs at very low operational level should be avoided (although can be used for internal management purposes) and very high long-term outcome PIs should be used, but with additional lower-level outcome PIs also being developed;</w:t>
      </w:r>
    </w:p>
    <w:p w14:paraId="5C0C2ACA" w14:textId="77777777" w:rsidR="00B25262" w:rsidRPr="002659A3" w:rsidRDefault="00B25262" w:rsidP="00743E60">
      <w:pPr>
        <w:numPr>
          <w:ilvl w:val="0"/>
          <w:numId w:val="33"/>
        </w:numPr>
        <w:ind w:left="360" w:hanging="180"/>
        <w:jc w:val="both"/>
        <w:rPr>
          <w:sz w:val="22"/>
          <w:szCs w:val="22"/>
        </w:rPr>
      </w:pPr>
      <w:r w:rsidRPr="002659A3">
        <w:rPr>
          <w:sz w:val="22"/>
          <w:szCs w:val="22"/>
        </w:rPr>
        <w:t xml:space="preserve">strong and continuous technical capacity building in MFs and in the line ministries/agencies; </w:t>
      </w:r>
    </w:p>
    <w:p w14:paraId="59D262F2" w14:textId="77777777" w:rsidR="00B25262" w:rsidRPr="002659A3" w:rsidRDefault="00B25262" w:rsidP="00743E60">
      <w:pPr>
        <w:numPr>
          <w:ilvl w:val="0"/>
          <w:numId w:val="33"/>
        </w:numPr>
        <w:ind w:left="360" w:hanging="180"/>
        <w:jc w:val="both"/>
        <w:rPr>
          <w:sz w:val="22"/>
          <w:szCs w:val="22"/>
        </w:rPr>
      </w:pPr>
      <w:r w:rsidRPr="002659A3">
        <w:rPr>
          <w:sz w:val="22"/>
          <w:szCs w:val="22"/>
        </w:rPr>
        <w:t>strengthened ICI with: i) standardization and flexibility, ii) narrative explanations, and iii) integration with ICT for planning by other classifications, treasury, and strategic planning;</w:t>
      </w:r>
    </w:p>
    <w:p w14:paraId="772AB667" w14:textId="77777777" w:rsidR="00B25262" w:rsidRPr="002659A3" w:rsidRDefault="00B25262" w:rsidP="00743E60">
      <w:pPr>
        <w:numPr>
          <w:ilvl w:val="0"/>
          <w:numId w:val="33"/>
        </w:numPr>
        <w:ind w:left="360" w:hanging="180"/>
        <w:jc w:val="both"/>
        <w:rPr>
          <w:sz w:val="22"/>
          <w:szCs w:val="22"/>
        </w:rPr>
      </w:pPr>
      <w:r w:rsidRPr="002659A3">
        <w:rPr>
          <w:sz w:val="22"/>
          <w:szCs w:val="22"/>
        </w:rPr>
        <w:t>establishing new data collection mechanisms to gather adequate performance date – including administrative data and external data collection mechanisms;</w:t>
      </w:r>
    </w:p>
    <w:p w14:paraId="3CA47B1D" w14:textId="77777777" w:rsidR="00B25262" w:rsidRPr="002659A3" w:rsidRDefault="00B25262" w:rsidP="00743E60">
      <w:pPr>
        <w:numPr>
          <w:ilvl w:val="0"/>
          <w:numId w:val="33"/>
        </w:numPr>
        <w:ind w:left="360" w:hanging="180"/>
        <w:jc w:val="both"/>
        <w:rPr>
          <w:sz w:val="22"/>
          <w:szCs w:val="22"/>
        </w:rPr>
      </w:pPr>
      <w:r w:rsidRPr="002659A3">
        <w:rPr>
          <w:sz w:val="22"/>
          <w:szCs w:val="22"/>
        </w:rPr>
        <w:t>integrating PIs into main budget document; alternatively, in supplementary information; performance outturn should be included in execution reports;</w:t>
      </w:r>
    </w:p>
    <w:p w14:paraId="0D13DE61" w14:textId="77777777" w:rsidR="00B25262" w:rsidRPr="002659A3" w:rsidRDefault="00B25262" w:rsidP="00743E60">
      <w:pPr>
        <w:numPr>
          <w:ilvl w:val="0"/>
          <w:numId w:val="33"/>
        </w:numPr>
        <w:ind w:left="360" w:hanging="180"/>
        <w:jc w:val="both"/>
        <w:rPr>
          <w:sz w:val="22"/>
          <w:szCs w:val="22"/>
        </w:rPr>
      </w:pPr>
      <w:r w:rsidRPr="002659A3">
        <w:rPr>
          <w:sz w:val="22"/>
          <w:szCs w:val="22"/>
        </w:rPr>
        <w:t>considering capacity building of parliament members and building of technical expertise in administrative support departments in parliaments;</w:t>
      </w:r>
    </w:p>
    <w:p w14:paraId="4E46F6B8" w14:textId="77777777" w:rsidR="00B25262" w:rsidRPr="002659A3" w:rsidRDefault="00B25262" w:rsidP="00743E60">
      <w:pPr>
        <w:numPr>
          <w:ilvl w:val="0"/>
          <w:numId w:val="33"/>
        </w:numPr>
        <w:ind w:left="360" w:hanging="180"/>
        <w:jc w:val="both"/>
        <w:rPr>
          <w:sz w:val="22"/>
          <w:szCs w:val="22"/>
        </w:rPr>
      </w:pPr>
      <w:r w:rsidRPr="002659A3">
        <w:rPr>
          <w:sz w:val="22"/>
          <w:szCs w:val="22"/>
        </w:rPr>
        <w:t>SAIs to have a role in PPB, at minimum to review and validate performance, while more substantial roles should be considered, including performance audits;</w:t>
      </w:r>
    </w:p>
    <w:p w14:paraId="1373D5A0" w14:textId="77777777" w:rsidR="00B25262" w:rsidRPr="002659A3" w:rsidRDefault="00B25262" w:rsidP="00743E60">
      <w:pPr>
        <w:numPr>
          <w:ilvl w:val="0"/>
          <w:numId w:val="33"/>
        </w:numPr>
        <w:ind w:left="360" w:hanging="180"/>
        <w:jc w:val="both"/>
        <w:rPr>
          <w:sz w:val="22"/>
          <w:szCs w:val="22"/>
        </w:rPr>
      </w:pPr>
      <w:r w:rsidRPr="002659A3">
        <w:rPr>
          <w:sz w:val="22"/>
          <w:szCs w:val="22"/>
        </w:rPr>
        <w:t>reusable performance data open to public online; citizens’ budgets to include performance information; PPB capacity building of CSOs and media;</w:t>
      </w:r>
    </w:p>
    <w:p w14:paraId="5DD71A5D" w14:textId="77777777" w:rsidR="00B25262" w:rsidRPr="002659A3" w:rsidRDefault="00B25262" w:rsidP="00743E60">
      <w:pPr>
        <w:numPr>
          <w:ilvl w:val="0"/>
          <w:numId w:val="33"/>
        </w:numPr>
        <w:ind w:left="360" w:hanging="180"/>
        <w:jc w:val="both"/>
        <w:rPr>
          <w:sz w:val="22"/>
          <w:szCs w:val="22"/>
        </w:rPr>
      </w:pPr>
      <w:r w:rsidRPr="002659A3">
        <w:rPr>
          <w:sz w:val="22"/>
          <w:szCs w:val="22"/>
        </w:rPr>
        <w:t>tools such as spending reviews and performance and impact evaluations complement PPB, but require careful design and technical expertise;</w:t>
      </w:r>
    </w:p>
    <w:p w14:paraId="201B4751" w14:textId="77777777" w:rsidR="00B25262" w:rsidRPr="002659A3" w:rsidRDefault="00B25262" w:rsidP="00743E60">
      <w:pPr>
        <w:numPr>
          <w:ilvl w:val="0"/>
          <w:numId w:val="33"/>
        </w:numPr>
        <w:ind w:left="360" w:hanging="180"/>
        <w:jc w:val="both"/>
        <w:rPr>
          <w:sz w:val="22"/>
          <w:szCs w:val="22"/>
        </w:rPr>
      </w:pPr>
      <w:r w:rsidRPr="002659A3">
        <w:rPr>
          <w:sz w:val="22"/>
          <w:szCs w:val="22"/>
        </w:rPr>
        <w:lastRenderedPageBreak/>
        <w:t>broad political support behind these tools important to ensure the proper involvement of line ministries/agencies (initial incentives could allow line ministries/agencies to use savings); and</w:t>
      </w:r>
    </w:p>
    <w:p w14:paraId="518BA69F" w14:textId="77777777" w:rsidR="00B25262" w:rsidRPr="002659A3" w:rsidRDefault="00B25262" w:rsidP="00743E60">
      <w:pPr>
        <w:numPr>
          <w:ilvl w:val="0"/>
          <w:numId w:val="33"/>
        </w:numPr>
        <w:ind w:left="360" w:hanging="180"/>
        <w:jc w:val="both"/>
        <w:rPr>
          <w:sz w:val="22"/>
          <w:szCs w:val="22"/>
        </w:rPr>
      </w:pPr>
      <w:r w:rsidRPr="002659A3">
        <w:rPr>
          <w:sz w:val="22"/>
          <w:szCs w:val="22"/>
        </w:rPr>
        <w:t>more attention should be given to learning aspects of PPB and responses to under-performance should emphasize learning, rather than rewards and penalties.</w:t>
      </w:r>
    </w:p>
    <w:p w14:paraId="75840470" w14:textId="77777777" w:rsidR="00B25262" w:rsidRPr="002659A3" w:rsidRDefault="00B25262" w:rsidP="00B25262">
      <w:pPr>
        <w:ind w:left="720"/>
        <w:jc w:val="both"/>
        <w:rPr>
          <w:sz w:val="22"/>
          <w:szCs w:val="22"/>
        </w:rPr>
      </w:pPr>
    </w:p>
    <w:p w14:paraId="2CA348B7" w14:textId="37B52932" w:rsidR="005A1144" w:rsidRPr="002659A3" w:rsidRDefault="00B25262" w:rsidP="00B25262">
      <w:pPr>
        <w:spacing w:afterLines="80" w:after="192"/>
        <w:jc w:val="both"/>
        <w:rPr>
          <w:sz w:val="22"/>
          <w:szCs w:val="22"/>
        </w:rPr>
      </w:pPr>
      <w:r w:rsidRPr="002659A3">
        <w:rPr>
          <w:b/>
          <w:sz w:val="22"/>
          <w:szCs w:val="22"/>
        </w:rPr>
        <w:t>Next steps on finalizing this knowledge product were discussed, as well as future work of the PPBWG.</w:t>
      </w:r>
      <w:r w:rsidRPr="002659A3">
        <w:rPr>
          <w:bCs/>
          <w:sz w:val="22"/>
          <w:szCs w:val="22"/>
        </w:rPr>
        <w:t xml:space="preserve"> </w:t>
      </w:r>
      <w:r w:rsidRPr="002659A3">
        <w:rPr>
          <w:sz w:val="22"/>
          <w:szCs w:val="22"/>
        </w:rPr>
        <w:t xml:space="preserve">Each participating BCOP country provided feedback on the draft PPBWG knowledge product and remarks on their recent developments in PPBWG thematic areas where applicable. </w:t>
      </w:r>
      <w:r w:rsidRPr="002659A3">
        <w:rPr>
          <w:bCs/>
          <w:sz w:val="22"/>
          <w:szCs w:val="22"/>
        </w:rPr>
        <w:t>Member countries noted that this knowledge product is comprehensive and practical and will be very useful for BCOP countries. Members and Resource Team provided specific suggestions for further expansions of the document, including: adding textboxes with most recent developments in performance budgeting and/or spending review reforms in a few PEMPAL countries (including R</w:t>
      </w:r>
      <w:r w:rsidRPr="002659A3">
        <w:rPr>
          <w:sz w:val="22"/>
          <w:szCs w:val="22"/>
        </w:rPr>
        <w:t xml:space="preserve">ussia, Bulgaria, and Ukraine, and possibly others) and adding relevant information and examples from in this joint workshop (including on PIs and spending reviews, as well as on potential role of internal audit in performance verification and in spending reviews). It was also agreed that legislation and methodological documents related to PPB as well as spending review reports for countries that have completed reviews will be collected from BCOP countries and circulated around among PPBWG members. For three countries that are starting with the stronger PPB reforms in the next period and/or have experience staff/BCOP member turnover (Uzbekistan, Kosovo, and Kyrgyz Republic) it was agreed that the detailed information an all knowledge materials on PPB accumulated by the PPBWG so far will be shared for easier reference. </w:t>
      </w:r>
      <w:r w:rsidRPr="002659A3">
        <w:rPr>
          <w:bCs/>
          <w:sz w:val="22"/>
          <w:szCs w:val="22"/>
        </w:rPr>
        <w:t xml:space="preserve">The countries were invited provide additional comments for this knowledge products until end-December 2019. </w:t>
      </w:r>
      <w:r w:rsidRPr="002659A3">
        <w:rPr>
          <w:sz w:val="22"/>
          <w:szCs w:val="22"/>
        </w:rPr>
        <w:t>Members also provided different suggestions for content and approach for the next knowledge product on spending reviews, including: i) to collect and summarize specific examples of analyses and recommendations from spending review reports in advanced and PEMAL countries by sector/type of expenditure (e.g. social welfare, wage bill, operational expenses etc.); ii) to map out specific recommended step-by-step approach to conducting spending reviews with examples from advanced countries; iii) to provide examples and recommendation on how to use performance information in spending reviews and integrate PPB systems with spending reviews; iv) to identify specific challenges in spending reviews for PEMPAL countries and offering options and recommendation for overcoming those challenges, or v) to focus in detail on organizational matters around spending reviews, i.e. roles and functions of the Ministry of Finance and line ministries, delineation of responsibilities, and how to motivate and incentivize the line ministries. Several member countries offered to provide information on their updated experiences and plans with the spending reviews – Russia, Bulgaria, Ukraine, Croatia, and Moldova. It was decided that the PPBWG would focus on expanding the current knowledge product and collecting the spending review legislation, methodological documents, and reports from PPBWG countries, after which the content of the spending review knowledge product is to be agreed during the March 2020 BCO</w:t>
      </w:r>
      <w:r w:rsidR="00B35CB0" w:rsidRPr="002659A3">
        <w:rPr>
          <w:sz w:val="22"/>
          <w:szCs w:val="22"/>
        </w:rPr>
        <w:t xml:space="preserve">P </w:t>
      </w:r>
      <w:r w:rsidRPr="002659A3">
        <w:rPr>
          <w:sz w:val="22"/>
          <w:szCs w:val="22"/>
        </w:rPr>
        <w:t>plenary meeting.</w:t>
      </w:r>
    </w:p>
    <w:sectPr w:rsidR="005A1144" w:rsidRPr="002659A3" w:rsidSect="00377538">
      <w:headerReference w:type="default" r:id="rId10"/>
      <w:footerReference w:type="even" r:id="rId11"/>
      <w:footerReference w:type="default" r:id="rId12"/>
      <w:pgSz w:w="12240" w:h="15840"/>
      <w:pgMar w:top="1138" w:right="1440" w:bottom="1138" w:left="1440"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46EE" w14:textId="77777777" w:rsidR="00756E53" w:rsidRDefault="00756E53">
      <w:r>
        <w:separator/>
      </w:r>
    </w:p>
  </w:endnote>
  <w:endnote w:type="continuationSeparator" w:id="0">
    <w:p w14:paraId="673B977D" w14:textId="77777777" w:rsidR="00756E53" w:rsidRDefault="0075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865594"/>
      <w:docPartObj>
        <w:docPartGallery w:val="Page Numbers (Bottom of Page)"/>
        <w:docPartUnique/>
      </w:docPartObj>
    </w:sdtPr>
    <w:sdtEndPr>
      <w:rPr>
        <w:rStyle w:val="PageNumber"/>
      </w:rPr>
    </w:sdtEndPr>
    <w:sdtContent>
      <w:p w14:paraId="05C5E266" w14:textId="58BB7EC9" w:rsidR="00743E60" w:rsidRDefault="00743E60" w:rsidP="00C837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398B3" w14:textId="77777777" w:rsidR="00743E60" w:rsidRDefault="00743E60" w:rsidP="00743E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6531947"/>
      <w:docPartObj>
        <w:docPartGallery w:val="Page Numbers (Bottom of Page)"/>
        <w:docPartUnique/>
      </w:docPartObj>
    </w:sdtPr>
    <w:sdtEndPr>
      <w:rPr>
        <w:rStyle w:val="PageNumber"/>
      </w:rPr>
    </w:sdtEndPr>
    <w:sdtContent>
      <w:p w14:paraId="34CA0B07" w14:textId="2541D52D" w:rsidR="00743E60" w:rsidRDefault="00743E60" w:rsidP="00C837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3FCE6" w14:textId="77777777" w:rsidR="00743E60" w:rsidRDefault="00743E60" w:rsidP="00743E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FC3F" w14:textId="77777777" w:rsidR="00756E53" w:rsidRDefault="00756E53">
      <w:r>
        <w:separator/>
      </w:r>
    </w:p>
  </w:footnote>
  <w:footnote w:type="continuationSeparator" w:id="0">
    <w:p w14:paraId="1E5B3D78" w14:textId="77777777" w:rsidR="00756E53" w:rsidRDefault="00756E53">
      <w:r>
        <w:continuationSeparator/>
      </w:r>
    </w:p>
  </w:footnote>
  <w:footnote w:id="1">
    <w:p w14:paraId="2C81BD6E" w14:textId="790293BA" w:rsidR="00202D25" w:rsidRPr="001763E2" w:rsidRDefault="00202D25" w:rsidP="009A3E49">
      <w:pPr>
        <w:rPr>
          <w:sz w:val="18"/>
          <w:szCs w:val="18"/>
        </w:rPr>
      </w:pPr>
      <w:r w:rsidRPr="001763E2">
        <w:rPr>
          <w:rStyle w:val="FootnoteReference"/>
          <w:sz w:val="18"/>
          <w:szCs w:val="18"/>
        </w:rPr>
        <w:footnoteRef/>
      </w:r>
      <w:r w:rsidRPr="001763E2">
        <w:rPr>
          <w:sz w:val="18"/>
          <w:szCs w:val="18"/>
        </w:rPr>
        <w:t xml:space="preserve"> </w:t>
      </w:r>
      <w:r w:rsidRPr="001763E2">
        <w:rPr>
          <w:bCs/>
          <w:color w:val="222222"/>
          <w:sz w:val="18"/>
          <w:szCs w:val="18"/>
          <w:lang w:eastAsia="bs-Latn-BA"/>
        </w:rPr>
        <w:t xml:space="preserve">The OECD meeting’s objective was to improve the effectiveness and efficiency of resource allocation and management in the public sector by assisting countries to design and implement performance- and results-based budgeting and management reforms. This meeting provided an opportunity to share and benchmark progress and to learn the latest trends. BCOP members from three countries (Russian Federation, Ukraine, and Bulgaria) attended.  Meeting agenda and materials are available at </w:t>
      </w:r>
      <w:hyperlink r:id="rId1" w:history="1">
        <w:r w:rsidRPr="001763E2">
          <w:rPr>
            <w:rStyle w:val="Hyperlink"/>
            <w:sz w:val="18"/>
            <w:szCs w:val="18"/>
          </w:rPr>
          <w:t>http://www.oecd.org/gov/budgeting/performance-results-meeting-2019.htm</w:t>
        </w:r>
      </w:hyperlink>
      <w:r w:rsidRPr="001763E2">
        <w:rPr>
          <w:sz w:val="18"/>
          <w:szCs w:val="18"/>
        </w:rPr>
        <w:t>.</w:t>
      </w:r>
    </w:p>
  </w:footnote>
  <w:footnote w:id="2">
    <w:p w14:paraId="366AA271" w14:textId="5B6FF19A" w:rsidR="00202D25" w:rsidRPr="001763E2" w:rsidRDefault="00202D25">
      <w:pPr>
        <w:pStyle w:val="FootnoteText"/>
        <w:rPr>
          <w:sz w:val="18"/>
          <w:szCs w:val="18"/>
        </w:rPr>
      </w:pPr>
      <w:r w:rsidRPr="001763E2">
        <w:rPr>
          <w:rStyle w:val="FootnoteReference"/>
          <w:sz w:val="18"/>
          <w:szCs w:val="18"/>
        </w:rPr>
        <w:footnoteRef/>
      </w:r>
      <w:r w:rsidRPr="001763E2">
        <w:rPr>
          <w:sz w:val="18"/>
          <w:szCs w:val="18"/>
        </w:rPr>
        <w:t xml:space="preserve"> Agenda </w:t>
      </w:r>
      <w:r w:rsidR="00743E60">
        <w:rPr>
          <w:sz w:val="18"/>
          <w:szCs w:val="18"/>
        </w:rPr>
        <w:t xml:space="preserve">and all presentations are </w:t>
      </w:r>
      <w:r w:rsidRPr="001763E2">
        <w:rPr>
          <w:sz w:val="18"/>
          <w:szCs w:val="18"/>
        </w:rPr>
        <w:t xml:space="preserve">available at </w:t>
      </w:r>
      <w:hyperlink r:id="rId2" w:history="1">
        <w:r w:rsidRPr="001763E2">
          <w:rPr>
            <w:rStyle w:val="Hyperlink"/>
            <w:sz w:val="18"/>
            <w:szCs w:val="18"/>
          </w:rPr>
          <w:t>https://www.pempal.org/events/joint-workshop-program-and-performance-budgeting-working-group-ppbwg-and-budget-literacy-and</w:t>
        </w:r>
      </w:hyperlink>
      <w:r w:rsidRPr="001763E2">
        <w:rPr>
          <w:sz w:val="18"/>
          <w:szCs w:val="18"/>
        </w:rPr>
        <w:t>.</w:t>
      </w:r>
    </w:p>
  </w:footnote>
  <w:footnote w:id="3">
    <w:p w14:paraId="2F21C180" w14:textId="2FD3B93F" w:rsidR="00202D25" w:rsidRPr="00261A7D" w:rsidRDefault="00202D25" w:rsidP="00261A7D">
      <w:pPr>
        <w:rPr>
          <w:sz w:val="18"/>
          <w:szCs w:val="18"/>
        </w:rPr>
      </w:pPr>
      <w:r w:rsidRPr="00261A7D">
        <w:rPr>
          <w:rStyle w:val="FootnoteReference"/>
          <w:sz w:val="18"/>
          <w:szCs w:val="18"/>
        </w:rPr>
        <w:footnoteRef/>
      </w:r>
      <w:r w:rsidRPr="00261A7D">
        <w:rPr>
          <w:sz w:val="18"/>
          <w:szCs w:val="18"/>
        </w:rPr>
        <w:t xml:space="preserve"> </w:t>
      </w:r>
      <w:r w:rsidRPr="00261A7D">
        <w:rPr>
          <w:bCs/>
          <w:color w:val="222222"/>
          <w:sz w:val="18"/>
          <w:szCs w:val="18"/>
          <w:lang w:eastAsia="bs-Latn-BA"/>
        </w:rPr>
        <w:t>Available at</w:t>
      </w:r>
      <w:r w:rsidRPr="00261A7D">
        <w:rPr>
          <w:sz w:val="18"/>
          <w:szCs w:val="18"/>
        </w:rPr>
        <w:t xml:space="preserve"> </w:t>
      </w:r>
      <w:hyperlink r:id="rId3" w:history="1">
        <w:r w:rsidRPr="00261A7D">
          <w:rPr>
            <w:color w:val="0563C1" w:themeColor="hyperlink"/>
            <w:sz w:val="18"/>
            <w:szCs w:val="18"/>
            <w:u w:val="single"/>
          </w:rPr>
          <w:t>https://www.pempal.org/events/joint-workshop-program-and-performance-budgeting-working-group-ppbwg-and-budget-literacy-and</w:t>
        </w:r>
      </w:hyperlink>
      <w:r w:rsidRPr="00261A7D">
        <w:rPr>
          <w:color w:val="0563C1" w:themeColor="hyperlink"/>
          <w:sz w:val="18"/>
          <w:szCs w:val="18"/>
          <w:u w:val="single"/>
        </w:rPr>
        <w:t>.</w:t>
      </w:r>
    </w:p>
  </w:footnote>
  <w:footnote w:id="4">
    <w:p w14:paraId="727C9F31" w14:textId="73EFBBA1" w:rsidR="00202D25" w:rsidRPr="00261A7D" w:rsidRDefault="00202D25" w:rsidP="00AD0A84">
      <w:pPr>
        <w:rPr>
          <w:bCs/>
          <w:color w:val="222222"/>
          <w:sz w:val="18"/>
          <w:szCs w:val="18"/>
          <w:lang w:eastAsia="bs-Latn-BA"/>
        </w:rPr>
      </w:pPr>
      <w:r w:rsidRPr="00261A7D">
        <w:rPr>
          <w:bCs/>
          <w:color w:val="222222"/>
          <w:sz w:val="18"/>
          <w:szCs w:val="18"/>
          <w:vertAlign w:val="superscript"/>
          <w:lang w:eastAsia="bs-Latn-BA"/>
        </w:rPr>
        <w:footnoteRef/>
      </w:r>
      <w:r w:rsidRPr="00261A7D">
        <w:rPr>
          <w:bCs/>
          <w:color w:val="222222"/>
          <w:sz w:val="18"/>
          <w:szCs w:val="18"/>
          <w:vertAlign w:val="superscript"/>
          <w:lang w:eastAsia="bs-Latn-BA"/>
        </w:rPr>
        <w:t xml:space="preserve"> </w:t>
      </w:r>
      <w:r w:rsidRPr="00261A7D">
        <w:rPr>
          <w:bCs/>
          <w:color w:val="222222"/>
          <w:sz w:val="18"/>
          <w:szCs w:val="18"/>
          <w:lang w:eastAsia="bs-Latn-BA"/>
        </w:rPr>
        <w:t>In Cameroon, initiatives saw an increase in budget transparency (through a citizens’ budget approach) and the outcomes led to increased tax revenues for the local councils, changes in the willingness of parents to contribute to school financing, and increased trust in local government.  In Mexico the municipal government was tasked to manage a mining fund and development project to improve affected communities. They used participatory budgeting approaches with 13 winning proposals worth USD 2.2 million awarded to citizens to implement.</w:t>
      </w:r>
    </w:p>
  </w:footnote>
  <w:footnote w:id="5">
    <w:p w14:paraId="40AB4D0B" w14:textId="658BBA62" w:rsidR="00202D25" w:rsidRPr="00381CFA" w:rsidRDefault="00202D25" w:rsidP="00381CFA">
      <w:pPr>
        <w:rPr>
          <w:bCs/>
          <w:color w:val="222222"/>
          <w:sz w:val="18"/>
          <w:szCs w:val="18"/>
          <w:lang w:eastAsia="bs-Latn-BA"/>
        </w:rPr>
      </w:pPr>
      <w:r w:rsidRPr="00261A7D">
        <w:rPr>
          <w:bCs/>
          <w:color w:val="222222"/>
          <w:sz w:val="18"/>
          <w:szCs w:val="18"/>
          <w:vertAlign w:val="superscript"/>
          <w:lang w:eastAsia="bs-Latn-BA"/>
        </w:rPr>
        <w:footnoteRef/>
      </w:r>
      <w:r w:rsidRPr="00261A7D">
        <w:rPr>
          <w:bCs/>
          <w:color w:val="222222"/>
          <w:sz w:val="18"/>
          <w:szCs w:val="18"/>
          <w:lang w:eastAsia="bs-Latn-BA"/>
        </w:rPr>
        <w:t xml:space="preserve"> Refer “World Bank Group. 2018. Indicators of Citizen-Centric Public Service Delivery. World Bank, Washington, DC. © World Bank. https://openknowledge.worldbank.org/handle/10986/30030 License: CC BY 3.0 IGO.”</w:t>
      </w:r>
      <w:r w:rsidRPr="00381CFA">
        <w:rPr>
          <w:bCs/>
          <w:color w:val="222222"/>
          <w:sz w:val="18"/>
          <w:szCs w:val="18"/>
          <w:lang w:eastAsia="bs-Latn-BA"/>
        </w:rPr>
        <w:t xml:space="preserve"> </w:t>
      </w:r>
    </w:p>
  </w:footnote>
  <w:footnote w:id="6">
    <w:p w14:paraId="02F3FF09" w14:textId="76EECDC3" w:rsidR="00202D25" w:rsidRPr="00381CFA" w:rsidRDefault="00202D25" w:rsidP="00381CFA">
      <w:pPr>
        <w:pStyle w:val="FootnoteText"/>
        <w:rPr>
          <w:sz w:val="18"/>
          <w:szCs w:val="18"/>
        </w:rPr>
      </w:pPr>
      <w:r w:rsidRPr="00381CFA">
        <w:rPr>
          <w:rStyle w:val="FootnoteReference"/>
          <w:sz w:val="18"/>
          <w:szCs w:val="18"/>
        </w:rPr>
        <w:footnoteRef/>
      </w:r>
      <w:r w:rsidRPr="00381CFA">
        <w:rPr>
          <w:sz w:val="18"/>
          <w:szCs w:val="18"/>
        </w:rPr>
        <w:t xml:space="preserve"> In terms of participatory budgeting, Mr</w:t>
      </w:r>
      <w:r>
        <w:rPr>
          <w:sz w:val="18"/>
          <w:szCs w:val="18"/>
        </w:rPr>
        <w:t>.</w:t>
      </w:r>
      <w:r w:rsidRPr="00381CFA">
        <w:rPr>
          <w:sz w:val="18"/>
          <w:szCs w:val="18"/>
        </w:rPr>
        <w:t xml:space="preserve"> Mathot noted that it is significantly more challenging at the national level compared to the local level, given the typical responsibilities of the national level government that are less focused on direct service delivery to citizens, as well as the issues with representativeness, and issue of relevance for entire population relative to small funds usually set aside for</w:t>
      </w:r>
      <w:r>
        <w:t xml:space="preserve"> </w:t>
      </w:r>
      <w:r w:rsidRPr="00381CFA">
        <w:rPr>
          <w:sz w:val="18"/>
          <w:szCs w:val="18"/>
        </w:rPr>
        <w:t>participatory budgeting. The examples of participatory budgeting at national level include Canada and Korea in which specific inputs is asked from citizens/CSOs and Portugal in which a small fund is set aside for citizens to decide on how it should be used.</w:t>
      </w:r>
    </w:p>
  </w:footnote>
  <w:footnote w:id="7">
    <w:p w14:paraId="70A0D910" w14:textId="078644C4" w:rsidR="00202D25" w:rsidRPr="00381CFA" w:rsidRDefault="00202D25">
      <w:pPr>
        <w:pStyle w:val="FootnoteText"/>
        <w:rPr>
          <w:sz w:val="18"/>
          <w:szCs w:val="18"/>
        </w:rPr>
      </w:pPr>
      <w:r w:rsidRPr="00381CFA">
        <w:rPr>
          <w:rStyle w:val="FootnoteReference"/>
          <w:sz w:val="18"/>
          <w:szCs w:val="18"/>
        </w:rPr>
        <w:footnoteRef/>
      </w:r>
      <w:r w:rsidRPr="00381CFA">
        <w:rPr>
          <w:sz w:val="18"/>
          <w:szCs w:val="18"/>
        </w:rPr>
        <w:t xml:space="preserve"> Available in </w:t>
      </w:r>
      <w:r w:rsidRPr="00381CFA">
        <w:rPr>
          <w:i/>
          <w:iCs/>
          <w:sz w:val="18"/>
          <w:szCs w:val="18"/>
        </w:rPr>
        <w:t>OECD Government at a Glance</w:t>
      </w:r>
      <w:r w:rsidRPr="00381CFA">
        <w:rPr>
          <w:sz w:val="18"/>
          <w:szCs w:val="18"/>
        </w:rPr>
        <w:t xml:space="preserve"> (2015) report at </w:t>
      </w:r>
      <w:hyperlink r:id="rId4" w:history="1">
        <w:r w:rsidRPr="00381CFA">
          <w:rPr>
            <w:rStyle w:val="Hyperlink"/>
            <w:sz w:val="18"/>
            <w:szCs w:val="18"/>
          </w:rPr>
          <w:t>https://www.oecd-ilibrary.org/docserver/gov_glance-2015-en.pdf?expires=1573822876&amp;id=id&amp;accname=guest&amp;checksum=C5E338AAEC3036162AD02F2628052AA6</w:t>
        </w:r>
      </w:hyperlink>
      <w:r w:rsidRPr="00381CFA">
        <w:rPr>
          <w:sz w:val="18"/>
          <w:szCs w:val="18"/>
        </w:rPr>
        <w:t>.</w:t>
      </w:r>
    </w:p>
  </w:footnote>
  <w:footnote w:id="8">
    <w:p w14:paraId="04ECB0BF" w14:textId="77777777" w:rsidR="00202D25" w:rsidRDefault="00202D25" w:rsidP="001725C9">
      <w:pPr>
        <w:pStyle w:val="FootnoteText"/>
        <w:jc w:val="both"/>
      </w:pPr>
      <w:r w:rsidRPr="00381CFA">
        <w:rPr>
          <w:rStyle w:val="FootnoteReference"/>
          <w:sz w:val="18"/>
          <w:szCs w:val="18"/>
        </w:rPr>
        <w:footnoteRef/>
      </w:r>
      <w:r w:rsidRPr="00381CFA">
        <w:rPr>
          <w:sz w:val="18"/>
          <w:szCs w:val="18"/>
        </w:rPr>
        <w:t xml:space="preserve"> For the ‘users view’, in 2019 around 46% of measures covered outputs and outcomes; 32% admin delays, and 22% public service satisfaction /quality of service.</w:t>
      </w:r>
      <w:r>
        <w:t xml:space="preserve">  </w:t>
      </w:r>
    </w:p>
  </w:footnote>
  <w:footnote w:id="9">
    <w:p w14:paraId="10393FCB" w14:textId="61A85FC2" w:rsidR="00202D25" w:rsidRPr="002659A3" w:rsidRDefault="00202D25" w:rsidP="00AF1C15">
      <w:pPr>
        <w:jc w:val="both"/>
        <w:rPr>
          <w:sz w:val="18"/>
          <w:szCs w:val="18"/>
        </w:rPr>
      </w:pPr>
      <w:r w:rsidRPr="002659A3">
        <w:rPr>
          <w:rStyle w:val="FootnoteReference"/>
          <w:color w:val="000000" w:themeColor="text1"/>
          <w:sz w:val="18"/>
          <w:szCs w:val="18"/>
        </w:rPr>
        <w:footnoteRef/>
      </w:r>
      <w:r w:rsidRPr="002659A3">
        <w:rPr>
          <w:color w:val="000000" w:themeColor="text1"/>
          <w:sz w:val="18"/>
          <w:szCs w:val="18"/>
        </w:rPr>
        <w:t xml:space="preserve"> </w:t>
      </w:r>
      <w:r w:rsidRPr="002659A3">
        <w:rPr>
          <w:sz w:val="18"/>
          <w:szCs w:val="18"/>
        </w:rPr>
        <w:t>OECD definition: “</w:t>
      </w:r>
      <w:bookmarkStart w:id="13" w:name="_GoBack"/>
      <w:r w:rsidRPr="002659A3">
        <w:rPr>
          <w:i/>
          <w:iCs/>
          <w:sz w:val="18"/>
          <w:szCs w:val="18"/>
        </w:rPr>
        <w:t>A spending review as the process of identifying scope to make savings, either to reduce overall government expenditure or to identify fiscal space, enabling resources to be reallocated in line with the government’s policy priorities. Spending reviews differ from other types of evaluation by looking not only at program effectiveness and efficiency under current funding levels, but also examining the consequences for outputs and outcomes of alternative funding levels. Spending reviews will typically review baseline expenditures and may also include specific targets for spending reductions. Spending reviews may be broad based, covering all government expenditures, or limited to certain ministries or program.”</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DDF9" w14:textId="79DF8D83" w:rsidR="00202D25" w:rsidRDefault="00743E60" w:rsidP="00743E60">
    <w:pPr>
      <w:pStyle w:val="Header"/>
      <w:jc w:val="center"/>
      <w:rPr>
        <w:lang w:val="en-GB"/>
      </w:rPr>
    </w:pPr>
    <w:r>
      <w:rPr>
        <w:b/>
        <w:noProof/>
      </w:rPr>
      <w:drawing>
        <wp:inline distT="0" distB="0" distL="0" distR="0" wp14:anchorId="1044C930" wp14:editId="73835854">
          <wp:extent cx="5943600" cy="5708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0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829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81B69"/>
    <w:multiLevelType w:val="hybridMultilevel"/>
    <w:tmpl w:val="7D6874A8"/>
    <w:lvl w:ilvl="0" w:tplc="C33EAAEC">
      <w:start w:val="1"/>
      <w:numFmt w:val="bullet"/>
      <w:lvlText w:val="•"/>
      <w:lvlJc w:val="left"/>
      <w:pPr>
        <w:tabs>
          <w:tab w:val="num" w:pos="720"/>
        </w:tabs>
        <w:ind w:left="720" w:hanging="360"/>
      </w:pPr>
      <w:rPr>
        <w:rFonts w:ascii="Times New Roman" w:hAnsi="Times New Roman" w:hint="default"/>
      </w:rPr>
    </w:lvl>
    <w:lvl w:ilvl="1" w:tplc="B07032E2" w:tentative="1">
      <w:start w:val="1"/>
      <w:numFmt w:val="bullet"/>
      <w:lvlText w:val="•"/>
      <w:lvlJc w:val="left"/>
      <w:pPr>
        <w:tabs>
          <w:tab w:val="num" w:pos="1440"/>
        </w:tabs>
        <w:ind w:left="1440" w:hanging="360"/>
      </w:pPr>
      <w:rPr>
        <w:rFonts w:ascii="Times New Roman" w:hAnsi="Times New Roman" w:hint="default"/>
      </w:rPr>
    </w:lvl>
    <w:lvl w:ilvl="2" w:tplc="74EC1654" w:tentative="1">
      <w:start w:val="1"/>
      <w:numFmt w:val="bullet"/>
      <w:lvlText w:val="•"/>
      <w:lvlJc w:val="left"/>
      <w:pPr>
        <w:tabs>
          <w:tab w:val="num" w:pos="2160"/>
        </w:tabs>
        <w:ind w:left="2160" w:hanging="360"/>
      </w:pPr>
      <w:rPr>
        <w:rFonts w:ascii="Times New Roman" w:hAnsi="Times New Roman" w:hint="default"/>
      </w:rPr>
    </w:lvl>
    <w:lvl w:ilvl="3" w:tplc="E6B092BC" w:tentative="1">
      <w:start w:val="1"/>
      <w:numFmt w:val="bullet"/>
      <w:lvlText w:val="•"/>
      <w:lvlJc w:val="left"/>
      <w:pPr>
        <w:tabs>
          <w:tab w:val="num" w:pos="2880"/>
        </w:tabs>
        <w:ind w:left="2880" w:hanging="360"/>
      </w:pPr>
      <w:rPr>
        <w:rFonts w:ascii="Times New Roman" w:hAnsi="Times New Roman" w:hint="default"/>
      </w:rPr>
    </w:lvl>
    <w:lvl w:ilvl="4" w:tplc="C26E863C" w:tentative="1">
      <w:start w:val="1"/>
      <w:numFmt w:val="bullet"/>
      <w:lvlText w:val="•"/>
      <w:lvlJc w:val="left"/>
      <w:pPr>
        <w:tabs>
          <w:tab w:val="num" w:pos="3600"/>
        </w:tabs>
        <w:ind w:left="3600" w:hanging="360"/>
      </w:pPr>
      <w:rPr>
        <w:rFonts w:ascii="Times New Roman" w:hAnsi="Times New Roman" w:hint="default"/>
      </w:rPr>
    </w:lvl>
    <w:lvl w:ilvl="5" w:tplc="28C8C682" w:tentative="1">
      <w:start w:val="1"/>
      <w:numFmt w:val="bullet"/>
      <w:lvlText w:val="•"/>
      <w:lvlJc w:val="left"/>
      <w:pPr>
        <w:tabs>
          <w:tab w:val="num" w:pos="4320"/>
        </w:tabs>
        <w:ind w:left="4320" w:hanging="360"/>
      </w:pPr>
      <w:rPr>
        <w:rFonts w:ascii="Times New Roman" w:hAnsi="Times New Roman" w:hint="default"/>
      </w:rPr>
    </w:lvl>
    <w:lvl w:ilvl="6" w:tplc="F01AC38A" w:tentative="1">
      <w:start w:val="1"/>
      <w:numFmt w:val="bullet"/>
      <w:lvlText w:val="•"/>
      <w:lvlJc w:val="left"/>
      <w:pPr>
        <w:tabs>
          <w:tab w:val="num" w:pos="5040"/>
        </w:tabs>
        <w:ind w:left="5040" w:hanging="360"/>
      </w:pPr>
      <w:rPr>
        <w:rFonts w:ascii="Times New Roman" w:hAnsi="Times New Roman" w:hint="default"/>
      </w:rPr>
    </w:lvl>
    <w:lvl w:ilvl="7" w:tplc="22A464E6" w:tentative="1">
      <w:start w:val="1"/>
      <w:numFmt w:val="bullet"/>
      <w:lvlText w:val="•"/>
      <w:lvlJc w:val="left"/>
      <w:pPr>
        <w:tabs>
          <w:tab w:val="num" w:pos="5760"/>
        </w:tabs>
        <w:ind w:left="5760" w:hanging="360"/>
      </w:pPr>
      <w:rPr>
        <w:rFonts w:ascii="Times New Roman" w:hAnsi="Times New Roman" w:hint="default"/>
      </w:rPr>
    </w:lvl>
    <w:lvl w:ilvl="8" w:tplc="448655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880933"/>
    <w:multiLevelType w:val="hybridMultilevel"/>
    <w:tmpl w:val="31B8B3F4"/>
    <w:lvl w:ilvl="0" w:tplc="0409001B">
      <w:start w:val="1"/>
      <w:numFmt w:val="lowerRoman"/>
      <w:lvlText w:val="%1."/>
      <w:lvlJc w:val="right"/>
      <w:pPr>
        <w:ind w:left="720" w:hanging="360"/>
      </w:pPr>
      <w:rPr>
        <w:rFonts w:hint="default"/>
      </w:rPr>
    </w:lvl>
    <w:lvl w:ilvl="1" w:tplc="8998F116">
      <w:numFmt w:val="bullet"/>
      <w:lvlText w:val="–"/>
      <w:lvlJc w:val="left"/>
      <w:pPr>
        <w:tabs>
          <w:tab w:val="num" w:pos="1440"/>
        </w:tabs>
        <w:ind w:left="1440" w:hanging="360"/>
      </w:pPr>
      <w:rPr>
        <w:rFonts w:ascii="Arial" w:hAnsi="Arial" w:hint="default"/>
      </w:rPr>
    </w:lvl>
    <w:lvl w:ilvl="2" w:tplc="64AC80E4" w:tentative="1">
      <w:start w:val="1"/>
      <w:numFmt w:val="bullet"/>
      <w:lvlText w:val="•"/>
      <w:lvlJc w:val="left"/>
      <w:pPr>
        <w:tabs>
          <w:tab w:val="num" w:pos="2160"/>
        </w:tabs>
        <w:ind w:left="2160" w:hanging="360"/>
      </w:pPr>
      <w:rPr>
        <w:rFonts w:ascii="Arial" w:hAnsi="Arial" w:hint="default"/>
      </w:rPr>
    </w:lvl>
    <w:lvl w:ilvl="3" w:tplc="48600A60" w:tentative="1">
      <w:start w:val="1"/>
      <w:numFmt w:val="bullet"/>
      <w:lvlText w:val="•"/>
      <w:lvlJc w:val="left"/>
      <w:pPr>
        <w:tabs>
          <w:tab w:val="num" w:pos="2880"/>
        </w:tabs>
        <w:ind w:left="2880" w:hanging="360"/>
      </w:pPr>
      <w:rPr>
        <w:rFonts w:ascii="Arial" w:hAnsi="Arial" w:hint="default"/>
      </w:rPr>
    </w:lvl>
    <w:lvl w:ilvl="4" w:tplc="48FEAD64" w:tentative="1">
      <w:start w:val="1"/>
      <w:numFmt w:val="bullet"/>
      <w:lvlText w:val="•"/>
      <w:lvlJc w:val="left"/>
      <w:pPr>
        <w:tabs>
          <w:tab w:val="num" w:pos="3600"/>
        </w:tabs>
        <w:ind w:left="3600" w:hanging="360"/>
      </w:pPr>
      <w:rPr>
        <w:rFonts w:ascii="Arial" w:hAnsi="Arial" w:hint="default"/>
      </w:rPr>
    </w:lvl>
    <w:lvl w:ilvl="5" w:tplc="88D4A936" w:tentative="1">
      <w:start w:val="1"/>
      <w:numFmt w:val="bullet"/>
      <w:lvlText w:val="•"/>
      <w:lvlJc w:val="left"/>
      <w:pPr>
        <w:tabs>
          <w:tab w:val="num" w:pos="4320"/>
        </w:tabs>
        <w:ind w:left="4320" w:hanging="360"/>
      </w:pPr>
      <w:rPr>
        <w:rFonts w:ascii="Arial" w:hAnsi="Arial" w:hint="default"/>
      </w:rPr>
    </w:lvl>
    <w:lvl w:ilvl="6" w:tplc="E932CCE6" w:tentative="1">
      <w:start w:val="1"/>
      <w:numFmt w:val="bullet"/>
      <w:lvlText w:val="•"/>
      <w:lvlJc w:val="left"/>
      <w:pPr>
        <w:tabs>
          <w:tab w:val="num" w:pos="5040"/>
        </w:tabs>
        <w:ind w:left="5040" w:hanging="360"/>
      </w:pPr>
      <w:rPr>
        <w:rFonts w:ascii="Arial" w:hAnsi="Arial" w:hint="default"/>
      </w:rPr>
    </w:lvl>
    <w:lvl w:ilvl="7" w:tplc="180032B0" w:tentative="1">
      <w:start w:val="1"/>
      <w:numFmt w:val="bullet"/>
      <w:lvlText w:val="•"/>
      <w:lvlJc w:val="left"/>
      <w:pPr>
        <w:tabs>
          <w:tab w:val="num" w:pos="5760"/>
        </w:tabs>
        <w:ind w:left="5760" w:hanging="360"/>
      </w:pPr>
      <w:rPr>
        <w:rFonts w:ascii="Arial" w:hAnsi="Arial" w:hint="default"/>
      </w:rPr>
    </w:lvl>
    <w:lvl w:ilvl="8" w:tplc="FC8E7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1651B"/>
    <w:multiLevelType w:val="hybridMultilevel"/>
    <w:tmpl w:val="082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C77F1"/>
    <w:multiLevelType w:val="hybridMultilevel"/>
    <w:tmpl w:val="52F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D7F"/>
    <w:multiLevelType w:val="multilevel"/>
    <w:tmpl w:val="181B7D7F"/>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8955AE"/>
    <w:multiLevelType w:val="hybridMultilevel"/>
    <w:tmpl w:val="9B745DB6"/>
    <w:lvl w:ilvl="0" w:tplc="66566A74">
      <w:start w:val="1"/>
      <w:numFmt w:val="bullet"/>
      <w:lvlText w:val="•"/>
      <w:lvlJc w:val="left"/>
      <w:pPr>
        <w:tabs>
          <w:tab w:val="num" w:pos="720"/>
        </w:tabs>
        <w:ind w:left="720" w:hanging="360"/>
      </w:pPr>
      <w:rPr>
        <w:rFonts w:ascii="Arial" w:hAnsi="Arial" w:hint="default"/>
      </w:rPr>
    </w:lvl>
    <w:lvl w:ilvl="1" w:tplc="78E8D9FE" w:tentative="1">
      <w:start w:val="1"/>
      <w:numFmt w:val="bullet"/>
      <w:lvlText w:val="•"/>
      <w:lvlJc w:val="left"/>
      <w:pPr>
        <w:tabs>
          <w:tab w:val="num" w:pos="1440"/>
        </w:tabs>
        <w:ind w:left="1440" w:hanging="360"/>
      </w:pPr>
      <w:rPr>
        <w:rFonts w:ascii="Arial" w:hAnsi="Arial" w:hint="default"/>
      </w:rPr>
    </w:lvl>
    <w:lvl w:ilvl="2" w:tplc="8DCE9FAE" w:tentative="1">
      <w:start w:val="1"/>
      <w:numFmt w:val="bullet"/>
      <w:lvlText w:val="•"/>
      <w:lvlJc w:val="left"/>
      <w:pPr>
        <w:tabs>
          <w:tab w:val="num" w:pos="2160"/>
        </w:tabs>
        <w:ind w:left="2160" w:hanging="360"/>
      </w:pPr>
      <w:rPr>
        <w:rFonts w:ascii="Arial" w:hAnsi="Arial" w:hint="default"/>
      </w:rPr>
    </w:lvl>
    <w:lvl w:ilvl="3" w:tplc="6BE842BE" w:tentative="1">
      <w:start w:val="1"/>
      <w:numFmt w:val="bullet"/>
      <w:lvlText w:val="•"/>
      <w:lvlJc w:val="left"/>
      <w:pPr>
        <w:tabs>
          <w:tab w:val="num" w:pos="2880"/>
        </w:tabs>
        <w:ind w:left="2880" w:hanging="360"/>
      </w:pPr>
      <w:rPr>
        <w:rFonts w:ascii="Arial" w:hAnsi="Arial" w:hint="default"/>
      </w:rPr>
    </w:lvl>
    <w:lvl w:ilvl="4" w:tplc="D64E1D28" w:tentative="1">
      <w:start w:val="1"/>
      <w:numFmt w:val="bullet"/>
      <w:lvlText w:val="•"/>
      <w:lvlJc w:val="left"/>
      <w:pPr>
        <w:tabs>
          <w:tab w:val="num" w:pos="3600"/>
        </w:tabs>
        <w:ind w:left="3600" w:hanging="360"/>
      </w:pPr>
      <w:rPr>
        <w:rFonts w:ascii="Arial" w:hAnsi="Arial" w:hint="default"/>
      </w:rPr>
    </w:lvl>
    <w:lvl w:ilvl="5" w:tplc="FE2A40B4" w:tentative="1">
      <w:start w:val="1"/>
      <w:numFmt w:val="bullet"/>
      <w:lvlText w:val="•"/>
      <w:lvlJc w:val="left"/>
      <w:pPr>
        <w:tabs>
          <w:tab w:val="num" w:pos="4320"/>
        </w:tabs>
        <w:ind w:left="4320" w:hanging="360"/>
      </w:pPr>
      <w:rPr>
        <w:rFonts w:ascii="Arial" w:hAnsi="Arial" w:hint="default"/>
      </w:rPr>
    </w:lvl>
    <w:lvl w:ilvl="6" w:tplc="C89EDDE8" w:tentative="1">
      <w:start w:val="1"/>
      <w:numFmt w:val="bullet"/>
      <w:lvlText w:val="•"/>
      <w:lvlJc w:val="left"/>
      <w:pPr>
        <w:tabs>
          <w:tab w:val="num" w:pos="5040"/>
        </w:tabs>
        <w:ind w:left="5040" w:hanging="360"/>
      </w:pPr>
      <w:rPr>
        <w:rFonts w:ascii="Arial" w:hAnsi="Arial" w:hint="default"/>
      </w:rPr>
    </w:lvl>
    <w:lvl w:ilvl="7" w:tplc="981CEF88" w:tentative="1">
      <w:start w:val="1"/>
      <w:numFmt w:val="bullet"/>
      <w:lvlText w:val="•"/>
      <w:lvlJc w:val="left"/>
      <w:pPr>
        <w:tabs>
          <w:tab w:val="num" w:pos="5760"/>
        </w:tabs>
        <w:ind w:left="5760" w:hanging="360"/>
      </w:pPr>
      <w:rPr>
        <w:rFonts w:ascii="Arial" w:hAnsi="Arial" w:hint="default"/>
      </w:rPr>
    </w:lvl>
    <w:lvl w:ilvl="8" w:tplc="E9EC9A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12423A"/>
    <w:multiLevelType w:val="multilevel"/>
    <w:tmpl w:val="1B12423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B07A4"/>
    <w:multiLevelType w:val="hybridMultilevel"/>
    <w:tmpl w:val="AEA47FE4"/>
    <w:lvl w:ilvl="0" w:tplc="B8BA39B2">
      <w:start w:val="1"/>
      <w:numFmt w:val="bullet"/>
      <w:lvlText w:val="•"/>
      <w:lvlJc w:val="left"/>
      <w:pPr>
        <w:tabs>
          <w:tab w:val="num" w:pos="720"/>
        </w:tabs>
        <w:ind w:left="720" w:hanging="360"/>
      </w:pPr>
      <w:rPr>
        <w:rFonts w:ascii="Arial" w:hAnsi="Arial" w:hint="default"/>
      </w:rPr>
    </w:lvl>
    <w:lvl w:ilvl="1" w:tplc="C7CED2C0" w:tentative="1">
      <w:start w:val="1"/>
      <w:numFmt w:val="bullet"/>
      <w:lvlText w:val="•"/>
      <w:lvlJc w:val="left"/>
      <w:pPr>
        <w:tabs>
          <w:tab w:val="num" w:pos="1440"/>
        </w:tabs>
        <w:ind w:left="1440" w:hanging="360"/>
      </w:pPr>
      <w:rPr>
        <w:rFonts w:ascii="Arial" w:hAnsi="Arial" w:hint="default"/>
      </w:rPr>
    </w:lvl>
    <w:lvl w:ilvl="2" w:tplc="C34485DE" w:tentative="1">
      <w:start w:val="1"/>
      <w:numFmt w:val="bullet"/>
      <w:lvlText w:val="•"/>
      <w:lvlJc w:val="left"/>
      <w:pPr>
        <w:tabs>
          <w:tab w:val="num" w:pos="2160"/>
        </w:tabs>
        <w:ind w:left="2160" w:hanging="360"/>
      </w:pPr>
      <w:rPr>
        <w:rFonts w:ascii="Arial" w:hAnsi="Arial" w:hint="default"/>
      </w:rPr>
    </w:lvl>
    <w:lvl w:ilvl="3" w:tplc="1F4AA54A" w:tentative="1">
      <w:start w:val="1"/>
      <w:numFmt w:val="bullet"/>
      <w:lvlText w:val="•"/>
      <w:lvlJc w:val="left"/>
      <w:pPr>
        <w:tabs>
          <w:tab w:val="num" w:pos="2880"/>
        </w:tabs>
        <w:ind w:left="2880" w:hanging="360"/>
      </w:pPr>
      <w:rPr>
        <w:rFonts w:ascii="Arial" w:hAnsi="Arial" w:hint="default"/>
      </w:rPr>
    </w:lvl>
    <w:lvl w:ilvl="4" w:tplc="A2E841F4" w:tentative="1">
      <w:start w:val="1"/>
      <w:numFmt w:val="bullet"/>
      <w:lvlText w:val="•"/>
      <w:lvlJc w:val="left"/>
      <w:pPr>
        <w:tabs>
          <w:tab w:val="num" w:pos="3600"/>
        </w:tabs>
        <w:ind w:left="3600" w:hanging="360"/>
      </w:pPr>
      <w:rPr>
        <w:rFonts w:ascii="Arial" w:hAnsi="Arial" w:hint="default"/>
      </w:rPr>
    </w:lvl>
    <w:lvl w:ilvl="5" w:tplc="9C8C2024" w:tentative="1">
      <w:start w:val="1"/>
      <w:numFmt w:val="bullet"/>
      <w:lvlText w:val="•"/>
      <w:lvlJc w:val="left"/>
      <w:pPr>
        <w:tabs>
          <w:tab w:val="num" w:pos="4320"/>
        </w:tabs>
        <w:ind w:left="4320" w:hanging="360"/>
      </w:pPr>
      <w:rPr>
        <w:rFonts w:ascii="Arial" w:hAnsi="Arial" w:hint="default"/>
      </w:rPr>
    </w:lvl>
    <w:lvl w:ilvl="6" w:tplc="45E4B7FA" w:tentative="1">
      <w:start w:val="1"/>
      <w:numFmt w:val="bullet"/>
      <w:lvlText w:val="•"/>
      <w:lvlJc w:val="left"/>
      <w:pPr>
        <w:tabs>
          <w:tab w:val="num" w:pos="5040"/>
        </w:tabs>
        <w:ind w:left="5040" w:hanging="360"/>
      </w:pPr>
      <w:rPr>
        <w:rFonts w:ascii="Arial" w:hAnsi="Arial" w:hint="default"/>
      </w:rPr>
    </w:lvl>
    <w:lvl w:ilvl="7" w:tplc="83C830F6" w:tentative="1">
      <w:start w:val="1"/>
      <w:numFmt w:val="bullet"/>
      <w:lvlText w:val="•"/>
      <w:lvlJc w:val="left"/>
      <w:pPr>
        <w:tabs>
          <w:tab w:val="num" w:pos="5760"/>
        </w:tabs>
        <w:ind w:left="5760" w:hanging="360"/>
      </w:pPr>
      <w:rPr>
        <w:rFonts w:ascii="Arial" w:hAnsi="Arial" w:hint="default"/>
      </w:rPr>
    </w:lvl>
    <w:lvl w:ilvl="8" w:tplc="92AEA2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5E39AD"/>
    <w:multiLevelType w:val="hybridMultilevel"/>
    <w:tmpl w:val="84F2BD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47F36"/>
    <w:multiLevelType w:val="hybridMultilevel"/>
    <w:tmpl w:val="34EC891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5364995"/>
    <w:multiLevelType w:val="multilevel"/>
    <w:tmpl w:val="253649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500CDD"/>
    <w:multiLevelType w:val="multilevel"/>
    <w:tmpl w:val="2A500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1F6F40"/>
    <w:multiLevelType w:val="multilevel"/>
    <w:tmpl w:val="2C1F6F4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8A1213"/>
    <w:multiLevelType w:val="hybridMultilevel"/>
    <w:tmpl w:val="1BDE6E9C"/>
    <w:lvl w:ilvl="0" w:tplc="CEE240DE">
      <w:start w:val="1"/>
      <w:numFmt w:val="bullet"/>
      <w:lvlText w:val="•"/>
      <w:lvlJc w:val="left"/>
      <w:pPr>
        <w:tabs>
          <w:tab w:val="num" w:pos="720"/>
        </w:tabs>
        <w:ind w:left="720" w:hanging="360"/>
      </w:pPr>
      <w:rPr>
        <w:rFonts w:ascii="Arial" w:hAnsi="Arial" w:hint="default"/>
      </w:rPr>
    </w:lvl>
    <w:lvl w:ilvl="1" w:tplc="1432029A" w:tentative="1">
      <w:start w:val="1"/>
      <w:numFmt w:val="bullet"/>
      <w:lvlText w:val="•"/>
      <w:lvlJc w:val="left"/>
      <w:pPr>
        <w:tabs>
          <w:tab w:val="num" w:pos="1440"/>
        </w:tabs>
        <w:ind w:left="1440" w:hanging="360"/>
      </w:pPr>
      <w:rPr>
        <w:rFonts w:ascii="Arial" w:hAnsi="Arial" w:hint="default"/>
      </w:rPr>
    </w:lvl>
    <w:lvl w:ilvl="2" w:tplc="0A90A3FC" w:tentative="1">
      <w:start w:val="1"/>
      <w:numFmt w:val="bullet"/>
      <w:lvlText w:val="•"/>
      <w:lvlJc w:val="left"/>
      <w:pPr>
        <w:tabs>
          <w:tab w:val="num" w:pos="2160"/>
        </w:tabs>
        <w:ind w:left="2160" w:hanging="360"/>
      </w:pPr>
      <w:rPr>
        <w:rFonts w:ascii="Arial" w:hAnsi="Arial" w:hint="default"/>
      </w:rPr>
    </w:lvl>
    <w:lvl w:ilvl="3" w:tplc="9120FA1C" w:tentative="1">
      <w:start w:val="1"/>
      <w:numFmt w:val="bullet"/>
      <w:lvlText w:val="•"/>
      <w:lvlJc w:val="left"/>
      <w:pPr>
        <w:tabs>
          <w:tab w:val="num" w:pos="2880"/>
        </w:tabs>
        <w:ind w:left="2880" w:hanging="360"/>
      </w:pPr>
      <w:rPr>
        <w:rFonts w:ascii="Arial" w:hAnsi="Arial" w:hint="default"/>
      </w:rPr>
    </w:lvl>
    <w:lvl w:ilvl="4" w:tplc="C8DC5E4E" w:tentative="1">
      <w:start w:val="1"/>
      <w:numFmt w:val="bullet"/>
      <w:lvlText w:val="•"/>
      <w:lvlJc w:val="left"/>
      <w:pPr>
        <w:tabs>
          <w:tab w:val="num" w:pos="3600"/>
        </w:tabs>
        <w:ind w:left="3600" w:hanging="360"/>
      </w:pPr>
      <w:rPr>
        <w:rFonts w:ascii="Arial" w:hAnsi="Arial" w:hint="default"/>
      </w:rPr>
    </w:lvl>
    <w:lvl w:ilvl="5" w:tplc="3544C8F2" w:tentative="1">
      <w:start w:val="1"/>
      <w:numFmt w:val="bullet"/>
      <w:lvlText w:val="•"/>
      <w:lvlJc w:val="left"/>
      <w:pPr>
        <w:tabs>
          <w:tab w:val="num" w:pos="4320"/>
        </w:tabs>
        <w:ind w:left="4320" w:hanging="360"/>
      </w:pPr>
      <w:rPr>
        <w:rFonts w:ascii="Arial" w:hAnsi="Arial" w:hint="default"/>
      </w:rPr>
    </w:lvl>
    <w:lvl w:ilvl="6" w:tplc="908A90A0" w:tentative="1">
      <w:start w:val="1"/>
      <w:numFmt w:val="bullet"/>
      <w:lvlText w:val="•"/>
      <w:lvlJc w:val="left"/>
      <w:pPr>
        <w:tabs>
          <w:tab w:val="num" w:pos="5040"/>
        </w:tabs>
        <w:ind w:left="5040" w:hanging="360"/>
      </w:pPr>
      <w:rPr>
        <w:rFonts w:ascii="Arial" w:hAnsi="Arial" w:hint="default"/>
      </w:rPr>
    </w:lvl>
    <w:lvl w:ilvl="7" w:tplc="E0664518" w:tentative="1">
      <w:start w:val="1"/>
      <w:numFmt w:val="bullet"/>
      <w:lvlText w:val="•"/>
      <w:lvlJc w:val="left"/>
      <w:pPr>
        <w:tabs>
          <w:tab w:val="num" w:pos="5760"/>
        </w:tabs>
        <w:ind w:left="5760" w:hanging="360"/>
      </w:pPr>
      <w:rPr>
        <w:rFonts w:ascii="Arial" w:hAnsi="Arial" w:hint="default"/>
      </w:rPr>
    </w:lvl>
    <w:lvl w:ilvl="8" w:tplc="01C2BD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99356E"/>
    <w:multiLevelType w:val="hybridMultilevel"/>
    <w:tmpl w:val="D0607886"/>
    <w:lvl w:ilvl="0" w:tplc="40E4DD42">
      <w:start w:val="1"/>
      <w:numFmt w:val="bullet"/>
      <w:lvlText w:val="•"/>
      <w:lvlJc w:val="left"/>
      <w:pPr>
        <w:tabs>
          <w:tab w:val="num" w:pos="720"/>
        </w:tabs>
        <w:ind w:left="720" w:hanging="360"/>
      </w:pPr>
      <w:rPr>
        <w:rFonts w:ascii="Arial" w:hAnsi="Arial" w:hint="default"/>
      </w:rPr>
    </w:lvl>
    <w:lvl w:ilvl="1" w:tplc="CFB60812" w:tentative="1">
      <w:start w:val="1"/>
      <w:numFmt w:val="bullet"/>
      <w:lvlText w:val="•"/>
      <w:lvlJc w:val="left"/>
      <w:pPr>
        <w:tabs>
          <w:tab w:val="num" w:pos="1440"/>
        </w:tabs>
        <w:ind w:left="1440" w:hanging="360"/>
      </w:pPr>
      <w:rPr>
        <w:rFonts w:ascii="Arial" w:hAnsi="Arial" w:hint="default"/>
      </w:rPr>
    </w:lvl>
    <w:lvl w:ilvl="2" w:tplc="15A4BC72" w:tentative="1">
      <w:start w:val="1"/>
      <w:numFmt w:val="bullet"/>
      <w:lvlText w:val="•"/>
      <w:lvlJc w:val="left"/>
      <w:pPr>
        <w:tabs>
          <w:tab w:val="num" w:pos="2160"/>
        </w:tabs>
        <w:ind w:left="2160" w:hanging="360"/>
      </w:pPr>
      <w:rPr>
        <w:rFonts w:ascii="Arial" w:hAnsi="Arial" w:hint="default"/>
      </w:rPr>
    </w:lvl>
    <w:lvl w:ilvl="3" w:tplc="F0548A60" w:tentative="1">
      <w:start w:val="1"/>
      <w:numFmt w:val="bullet"/>
      <w:lvlText w:val="•"/>
      <w:lvlJc w:val="left"/>
      <w:pPr>
        <w:tabs>
          <w:tab w:val="num" w:pos="2880"/>
        </w:tabs>
        <w:ind w:left="2880" w:hanging="360"/>
      </w:pPr>
      <w:rPr>
        <w:rFonts w:ascii="Arial" w:hAnsi="Arial" w:hint="default"/>
      </w:rPr>
    </w:lvl>
    <w:lvl w:ilvl="4" w:tplc="29002AAE" w:tentative="1">
      <w:start w:val="1"/>
      <w:numFmt w:val="bullet"/>
      <w:lvlText w:val="•"/>
      <w:lvlJc w:val="left"/>
      <w:pPr>
        <w:tabs>
          <w:tab w:val="num" w:pos="3600"/>
        </w:tabs>
        <w:ind w:left="3600" w:hanging="360"/>
      </w:pPr>
      <w:rPr>
        <w:rFonts w:ascii="Arial" w:hAnsi="Arial" w:hint="default"/>
      </w:rPr>
    </w:lvl>
    <w:lvl w:ilvl="5" w:tplc="CA3E2A8C" w:tentative="1">
      <w:start w:val="1"/>
      <w:numFmt w:val="bullet"/>
      <w:lvlText w:val="•"/>
      <w:lvlJc w:val="left"/>
      <w:pPr>
        <w:tabs>
          <w:tab w:val="num" w:pos="4320"/>
        </w:tabs>
        <w:ind w:left="4320" w:hanging="360"/>
      </w:pPr>
      <w:rPr>
        <w:rFonts w:ascii="Arial" w:hAnsi="Arial" w:hint="default"/>
      </w:rPr>
    </w:lvl>
    <w:lvl w:ilvl="6" w:tplc="A1303F72" w:tentative="1">
      <w:start w:val="1"/>
      <w:numFmt w:val="bullet"/>
      <w:lvlText w:val="•"/>
      <w:lvlJc w:val="left"/>
      <w:pPr>
        <w:tabs>
          <w:tab w:val="num" w:pos="5040"/>
        </w:tabs>
        <w:ind w:left="5040" w:hanging="360"/>
      </w:pPr>
      <w:rPr>
        <w:rFonts w:ascii="Arial" w:hAnsi="Arial" w:hint="default"/>
      </w:rPr>
    </w:lvl>
    <w:lvl w:ilvl="7" w:tplc="832CAA46" w:tentative="1">
      <w:start w:val="1"/>
      <w:numFmt w:val="bullet"/>
      <w:lvlText w:val="•"/>
      <w:lvlJc w:val="left"/>
      <w:pPr>
        <w:tabs>
          <w:tab w:val="num" w:pos="5760"/>
        </w:tabs>
        <w:ind w:left="5760" w:hanging="360"/>
      </w:pPr>
      <w:rPr>
        <w:rFonts w:ascii="Arial" w:hAnsi="Arial" w:hint="default"/>
      </w:rPr>
    </w:lvl>
    <w:lvl w:ilvl="8" w:tplc="CF5E09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171156"/>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FB6173"/>
    <w:multiLevelType w:val="hybridMultilevel"/>
    <w:tmpl w:val="70B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35B76"/>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6D2B42"/>
    <w:multiLevelType w:val="hybridMultilevel"/>
    <w:tmpl w:val="56F69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D0F6C"/>
    <w:multiLevelType w:val="hybridMultilevel"/>
    <w:tmpl w:val="C2747840"/>
    <w:lvl w:ilvl="0" w:tplc="C15ECF0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2218C"/>
    <w:multiLevelType w:val="hybridMultilevel"/>
    <w:tmpl w:val="7448821C"/>
    <w:lvl w:ilvl="0" w:tplc="CED08C5E">
      <w:start w:val="1"/>
      <w:numFmt w:val="bullet"/>
      <w:lvlText w:val="•"/>
      <w:lvlJc w:val="left"/>
      <w:pPr>
        <w:tabs>
          <w:tab w:val="num" w:pos="720"/>
        </w:tabs>
        <w:ind w:left="720" w:hanging="360"/>
      </w:pPr>
      <w:rPr>
        <w:rFonts w:ascii="Arial" w:hAnsi="Arial" w:hint="default"/>
      </w:rPr>
    </w:lvl>
    <w:lvl w:ilvl="1" w:tplc="663EBCCE">
      <w:numFmt w:val="bullet"/>
      <w:lvlText w:val="–"/>
      <w:lvlJc w:val="left"/>
      <w:pPr>
        <w:tabs>
          <w:tab w:val="num" w:pos="1440"/>
        </w:tabs>
        <w:ind w:left="1440" w:hanging="360"/>
      </w:pPr>
      <w:rPr>
        <w:rFonts w:ascii="Arial" w:hAnsi="Arial" w:hint="default"/>
      </w:rPr>
    </w:lvl>
    <w:lvl w:ilvl="2" w:tplc="D7EE44A6" w:tentative="1">
      <w:start w:val="1"/>
      <w:numFmt w:val="bullet"/>
      <w:lvlText w:val="•"/>
      <w:lvlJc w:val="left"/>
      <w:pPr>
        <w:tabs>
          <w:tab w:val="num" w:pos="2160"/>
        </w:tabs>
        <w:ind w:left="2160" w:hanging="360"/>
      </w:pPr>
      <w:rPr>
        <w:rFonts w:ascii="Arial" w:hAnsi="Arial" w:hint="default"/>
      </w:rPr>
    </w:lvl>
    <w:lvl w:ilvl="3" w:tplc="0A640372" w:tentative="1">
      <w:start w:val="1"/>
      <w:numFmt w:val="bullet"/>
      <w:lvlText w:val="•"/>
      <w:lvlJc w:val="left"/>
      <w:pPr>
        <w:tabs>
          <w:tab w:val="num" w:pos="2880"/>
        </w:tabs>
        <w:ind w:left="2880" w:hanging="360"/>
      </w:pPr>
      <w:rPr>
        <w:rFonts w:ascii="Arial" w:hAnsi="Arial" w:hint="default"/>
      </w:rPr>
    </w:lvl>
    <w:lvl w:ilvl="4" w:tplc="94A62C82" w:tentative="1">
      <w:start w:val="1"/>
      <w:numFmt w:val="bullet"/>
      <w:lvlText w:val="•"/>
      <w:lvlJc w:val="left"/>
      <w:pPr>
        <w:tabs>
          <w:tab w:val="num" w:pos="3600"/>
        </w:tabs>
        <w:ind w:left="3600" w:hanging="360"/>
      </w:pPr>
      <w:rPr>
        <w:rFonts w:ascii="Arial" w:hAnsi="Arial" w:hint="default"/>
      </w:rPr>
    </w:lvl>
    <w:lvl w:ilvl="5" w:tplc="EB00F194" w:tentative="1">
      <w:start w:val="1"/>
      <w:numFmt w:val="bullet"/>
      <w:lvlText w:val="•"/>
      <w:lvlJc w:val="left"/>
      <w:pPr>
        <w:tabs>
          <w:tab w:val="num" w:pos="4320"/>
        </w:tabs>
        <w:ind w:left="4320" w:hanging="360"/>
      </w:pPr>
      <w:rPr>
        <w:rFonts w:ascii="Arial" w:hAnsi="Arial" w:hint="default"/>
      </w:rPr>
    </w:lvl>
    <w:lvl w:ilvl="6" w:tplc="6F7A3D78" w:tentative="1">
      <w:start w:val="1"/>
      <w:numFmt w:val="bullet"/>
      <w:lvlText w:val="•"/>
      <w:lvlJc w:val="left"/>
      <w:pPr>
        <w:tabs>
          <w:tab w:val="num" w:pos="5040"/>
        </w:tabs>
        <w:ind w:left="5040" w:hanging="360"/>
      </w:pPr>
      <w:rPr>
        <w:rFonts w:ascii="Arial" w:hAnsi="Arial" w:hint="default"/>
      </w:rPr>
    </w:lvl>
    <w:lvl w:ilvl="7" w:tplc="7D68605C" w:tentative="1">
      <w:start w:val="1"/>
      <w:numFmt w:val="bullet"/>
      <w:lvlText w:val="•"/>
      <w:lvlJc w:val="left"/>
      <w:pPr>
        <w:tabs>
          <w:tab w:val="num" w:pos="5760"/>
        </w:tabs>
        <w:ind w:left="5760" w:hanging="360"/>
      </w:pPr>
      <w:rPr>
        <w:rFonts w:ascii="Arial" w:hAnsi="Arial" w:hint="default"/>
      </w:rPr>
    </w:lvl>
    <w:lvl w:ilvl="8" w:tplc="25884B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7C7110"/>
    <w:multiLevelType w:val="hybridMultilevel"/>
    <w:tmpl w:val="2BAE246E"/>
    <w:lvl w:ilvl="0" w:tplc="C15ECF0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91708"/>
    <w:multiLevelType w:val="hybridMultilevel"/>
    <w:tmpl w:val="9502EED8"/>
    <w:lvl w:ilvl="0" w:tplc="7068D72A">
      <w:start w:val="1"/>
      <w:numFmt w:val="bullet"/>
      <w:lvlText w:val="•"/>
      <w:lvlJc w:val="left"/>
      <w:pPr>
        <w:tabs>
          <w:tab w:val="num" w:pos="720"/>
        </w:tabs>
        <w:ind w:left="720" w:hanging="360"/>
      </w:pPr>
      <w:rPr>
        <w:rFonts w:ascii="Arial" w:hAnsi="Arial" w:hint="default"/>
      </w:rPr>
    </w:lvl>
    <w:lvl w:ilvl="1" w:tplc="F93C1B88" w:tentative="1">
      <w:start w:val="1"/>
      <w:numFmt w:val="bullet"/>
      <w:lvlText w:val="•"/>
      <w:lvlJc w:val="left"/>
      <w:pPr>
        <w:tabs>
          <w:tab w:val="num" w:pos="1440"/>
        </w:tabs>
        <w:ind w:left="1440" w:hanging="360"/>
      </w:pPr>
      <w:rPr>
        <w:rFonts w:ascii="Arial" w:hAnsi="Arial" w:hint="default"/>
      </w:rPr>
    </w:lvl>
    <w:lvl w:ilvl="2" w:tplc="8EF60384" w:tentative="1">
      <w:start w:val="1"/>
      <w:numFmt w:val="bullet"/>
      <w:lvlText w:val="•"/>
      <w:lvlJc w:val="left"/>
      <w:pPr>
        <w:tabs>
          <w:tab w:val="num" w:pos="2160"/>
        </w:tabs>
        <w:ind w:left="2160" w:hanging="360"/>
      </w:pPr>
      <w:rPr>
        <w:rFonts w:ascii="Arial" w:hAnsi="Arial" w:hint="default"/>
      </w:rPr>
    </w:lvl>
    <w:lvl w:ilvl="3" w:tplc="58D41122">
      <w:start w:val="1"/>
      <w:numFmt w:val="bullet"/>
      <w:lvlText w:val="•"/>
      <w:lvlJc w:val="left"/>
      <w:pPr>
        <w:tabs>
          <w:tab w:val="num" w:pos="2880"/>
        </w:tabs>
        <w:ind w:left="2880" w:hanging="360"/>
      </w:pPr>
      <w:rPr>
        <w:rFonts w:ascii="Arial" w:hAnsi="Arial" w:hint="default"/>
      </w:rPr>
    </w:lvl>
    <w:lvl w:ilvl="4" w:tplc="89201324" w:tentative="1">
      <w:start w:val="1"/>
      <w:numFmt w:val="bullet"/>
      <w:lvlText w:val="•"/>
      <w:lvlJc w:val="left"/>
      <w:pPr>
        <w:tabs>
          <w:tab w:val="num" w:pos="3600"/>
        </w:tabs>
        <w:ind w:left="3600" w:hanging="360"/>
      </w:pPr>
      <w:rPr>
        <w:rFonts w:ascii="Arial" w:hAnsi="Arial" w:hint="default"/>
      </w:rPr>
    </w:lvl>
    <w:lvl w:ilvl="5" w:tplc="D0F6208C" w:tentative="1">
      <w:start w:val="1"/>
      <w:numFmt w:val="bullet"/>
      <w:lvlText w:val="•"/>
      <w:lvlJc w:val="left"/>
      <w:pPr>
        <w:tabs>
          <w:tab w:val="num" w:pos="4320"/>
        </w:tabs>
        <w:ind w:left="4320" w:hanging="360"/>
      </w:pPr>
      <w:rPr>
        <w:rFonts w:ascii="Arial" w:hAnsi="Arial" w:hint="default"/>
      </w:rPr>
    </w:lvl>
    <w:lvl w:ilvl="6" w:tplc="E32A6CD6" w:tentative="1">
      <w:start w:val="1"/>
      <w:numFmt w:val="bullet"/>
      <w:lvlText w:val="•"/>
      <w:lvlJc w:val="left"/>
      <w:pPr>
        <w:tabs>
          <w:tab w:val="num" w:pos="5040"/>
        </w:tabs>
        <w:ind w:left="5040" w:hanging="360"/>
      </w:pPr>
      <w:rPr>
        <w:rFonts w:ascii="Arial" w:hAnsi="Arial" w:hint="default"/>
      </w:rPr>
    </w:lvl>
    <w:lvl w:ilvl="7" w:tplc="ADECBD90" w:tentative="1">
      <w:start w:val="1"/>
      <w:numFmt w:val="bullet"/>
      <w:lvlText w:val="•"/>
      <w:lvlJc w:val="left"/>
      <w:pPr>
        <w:tabs>
          <w:tab w:val="num" w:pos="5760"/>
        </w:tabs>
        <w:ind w:left="5760" w:hanging="360"/>
      </w:pPr>
      <w:rPr>
        <w:rFonts w:ascii="Arial" w:hAnsi="Arial" w:hint="default"/>
      </w:rPr>
    </w:lvl>
    <w:lvl w:ilvl="8" w:tplc="D9E81A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78081C"/>
    <w:multiLevelType w:val="hybridMultilevel"/>
    <w:tmpl w:val="7E80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95609"/>
    <w:multiLevelType w:val="hybridMultilevel"/>
    <w:tmpl w:val="84F2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81611"/>
    <w:multiLevelType w:val="hybridMultilevel"/>
    <w:tmpl w:val="04D0E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2A830E9"/>
    <w:multiLevelType w:val="hybridMultilevel"/>
    <w:tmpl w:val="2CD8AA4C"/>
    <w:lvl w:ilvl="0" w:tplc="A9FA9078">
      <w:start w:val="1"/>
      <w:numFmt w:val="bullet"/>
      <w:lvlText w:val="•"/>
      <w:lvlJc w:val="left"/>
      <w:pPr>
        <w:tabs>
          <w:tab w:val="num" w:pos="720"/>
        </w:tabs>
        <w:ind w:left="720" w:hanging="360"/>
      </w:pPr>
      <w:rPr>
        <w:rFonts w:ascii="Times New Roman" w:hAnsi="Times New Roman" w:hint="default"/>
      </w:rPr>
    </w:lvl>
    <w:lvl w:ilvl="1" w:tplc="C46E67AA" w:tentative="1">
      <w:start w:val="1"/>
      <w:numFmt w:val="bullet"/>
      <w:lvlText w:val="•"/>
      <w:lvlJc w:val="left"/>
      <w:pPr>
        <w:tabs>
          <w:tab w:val="num" w:pos="1440"/>
        </w:tabs>
        <w:ind w:left="1440" w:hanging="360"/>
      </w:pPr>
      <w:rPr>
        <w:rFonts w:ascii="Times New Roman" w:hAnsi="Times New Roman" w:hint="default"/>
      </w:rPr>
    </w:lvl>
    <w:lvl w:ilvl="2" w:tplc="70CE1CA2" w:tentative="1">
      <w:start w:val="1"/>
      <w:numFmt w:val="bullet"/>
      <w:lvlText w:val="•"/>
      <w:lvlJc w:val="left"/>
      <w:pPr>
        <w:tabs>
          <w:tab w:val="num" w:pos="2160"/>
        </w:tabs>
        <w:ind w:left="2160" w:hanging="360"/>
      </w:pPr>
      <w:rPr>
        <w:rFonts w:ascii="Times New Roman" w:hAnsi="Times New Roman" w:hint="default"/>
      </w:rPr>
    </w:lvl>
    <w:lvl w:ilvl="3" w:tplc="D6422856" w:tentative="1">
      <w:start w:val="1"/>
      <w:numFmt w:val="bullet"/>
      <w:lvlText w:val="•"/>
      <w:lvlJc w:val="left"/>
      <w:pPr>
        <w:tabs>
          <w:tab w:val="num" w:pos="2880"/>
        </w:tabs>
        <w:ind w:left="2880" w:hanging="360"/>
      </w:pPr>
      <w:rPr>
        <w:rFonts w:ascii="Times New Roman" w:hAnsi="Times New Roman" w:hint="default"/>
      </w:rPr>
    </w:lvl>
    <w:lvl w:ilvl="4" w:tplc="F874FD3C" w:tentative="1">
      <w:start w:val="1"/>
      <w:numFmt w:val="bullet"/>
      <w:lvlText w:val="•"/>
      <w:lvlJc w:val="left"/>
      <w:pPr>
        <w:tabs>
          <w:tab w:val="num" w:pos="3600"/>
        </w:tabs>
        <w:ind w:left="3600" w:hanging="360"/>
      </w:pPr>
      <w:rPr>
        <w:rFonts w:ascii="Times New Roman" w:hAnsi="Times New Roman" w:hint="default"/>
      </w:rPr>
    </w:lvl>
    <w:lvl w:ilvl="5" w:tplc="6C265F1C" w:tentative="1">
      <w:start w:val="1"/>
      <w:numFmt w:val="bullet"/>
      <w:lvlText w:val="•"/>
      <w:lvlJc w:val="left"/>
      <w:pPr>
        <w:tabs>
          <w:tab w:val="num" w:pos="4320"/>
        </w:tabs>
        <w:ind w:left="4320" w:hanging="360"/>
      </w:pPr>
      <w:rPr>
        <w:rFonts w:ascii="Times New Roman" w:hAnsi="Times New Roman" w:hint="default"/>
      </w:rPr>
    </w:lvl>
    <w:lvl w:ilvl="6" w:tplc="4DD67E74" w:tentative="1">
      <w:start w:val="1"/>
      <w:numFmt w:val="bullet"/>
      <w:lvlText w:val="•"/>
      <w:lvlJc w:val="left"/>
      <w:pPr>
        <w:tabs>
          <w:tab w:val="num" w:pos="5040"/>
        </w:tabs>
        <w:ind w:left="5040" w:hanging="360"/>
      </w:pPr>
      <w:rPr>
        <w:rFonts w:ascii="Times New Roman" w:hAnsi="Times New Roman" w:hint="default"/>
      </w:rPr>
    </w:lvl>
    <w:lvl w:ilvl="7" w:tplc="938E2EAC" w:tentative="1">
      <w:start w:val="1"/>
      <w:numFmt w:val="bullet"/>
      <w:lvlText w:val="•"/>
      <w:lvlJc w:val="left"/>
      <w:pPr>
        <w:tabs>
          <w:tab w:val="num" w:pos="5760"/>
        </w:tabs>
        <w:ind w:left="5760" w:hanging="360"/>
      </w:pPr>
      <w:rPr>
        <w:rFonts w:ascii="Times New Roman" w:hAnsi="Times New Roman" w:hint="default"/>
      </w:rPr>
    </w:lvl>
    <w:lvl w:ilvl="8" w:tplc="0962763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4835C3"/>
    <w:multiLevelType w:val="hybridMultilevel"/>
    <w:tmpl w:val="6E74D15E"/>
    <w:lvl w:ilvl="0" w:tplc="E202E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267EC"/>
    <w:multiLevelType w:val="hybridMultilevel"/>
    <w:tmpl w:val="268C37C6"/>
    <w:lvl w:ilvl="0" w:tplc="3600FE2C">
      <w:start w:val="1"/>
      <w:numFmt w:val="bullet"/>
      <w:lvlText w:val="•"/>
      <w:lvlJc w:val="left"/>
      <w:pPr>
        <w:tabs>
          <w:tab w:val="num" w:pos="720"/>
        </w:tabs>
        <w:ind w:left="720" w:hanging="360"/>
      </w:pPr>
      <w:rPr>
        <w:rFonts w:ascii="Arial" w:hAnsi="Arial" w:hint="default"/>
      </w:rPr>
    </w:lvl>
    <w:lvl w:ilvl="1" w:tplc="8998F116">
      <w:numFmt w:val="bullet"/>
      <w:lvlText w:val="–"/>
      <w:lvlJc w:val="left"/>
      <w:pPr>
        <w:tabs>
          <w:tab w:val="num" w:pos="1440"/>
        </w:tabs>
        <w:ind w:left="1440" w:hanging="360"/>
      </w:pPr>
      <w:rPr>
        <w:rFonts w:ascii="Arial" w:hAnsi="Arial" w:hint="default"/>
      </w:rPr>
    </w:lvl>
    <w:lvl w:ilvl="2" w:tplc="64AC80E4" w:tentative="1">
      <w:start w:val="1"/>
      <w:numFmt w:val="bullet"/>
      <w:lvlText w:val="•"/>
      <w:lvlJc w:val="left"/>
      <w:pPr>
        <w:tabs>
          <w:tab w:val="num" w:pos="2160"/>
        </w:tabs>
        <w:ind w:left="2160" w:hanging="360"/>
      </w:pPr>
      <w:rPr>
        <w:rFonts w:ascii="Arial" w:hAnsi="Arial" w:hint="default"/>
      </w:rPr>
    </w:lvl>
    <w:lvl w:ilvl="3" w:tplc="48600A60" w:tentative="1">
      <w:start w:val="1"/>
      <w:numFmt w:val="bullet"/>
      <w:lvlText w:val="•"/>
      <w:lvlJc w:val="left"/>
      <w:pPr>
        <w:tabs>
          <w:tab w:val="num" w:pos="2880"/>
        </w:tabs>
        <w:ind w:left="2880" w:hanging="360"/>
      </w:pPr>
      <w:rPr>
        <w:rFonts w:ascii="Arial" w:hAnsi="Arial" w:hint="default"/>
      </w:rPr>
    </w:lvl>
    <w:lvl w:ilvl="4" w:tplc="48FEAD64" w:tentative="1">
      <w:start w:val="1"/>
      <w:numFmt w:val="bullet"/>
      <w:lvlText w:val="•"/>
      <w:lvlJc w:val="left"/>
      <w:pPr>
        <w:tabs>
          <w:tab w:val="num" w:pos="3600"/>
        </w:tabs>
        <w:ind w:left="3600" w:hanging="360"/>
      </w:pPr>
      <w:rPr>
        <w:rFonts w:ascii="Arial" w:hAnsi="Arial" w:hint="default"/>
      </w:rPr>
    </w:lvl>
    <w:lvl w:ilvl="5" w:tplc="88D4A936" w:tentative="1">
      <w:start w:val="1"/>
      <w:numFmt w:val="bullet"/>
      <w:lvlText w:val="•"/>
      <w:lvlJc w:val="left"/>
      <w:pPr>
        <w:tabs>
          <w:tab w:val="num" w:pos="4320"/>
        </w:tabs>
        <w:ind w:left="4320" w:hanging="360"/>
      </w:pPr>
      <w:rPr>
        <w:rFonts w:ascii="Arial" w:hAnsi="Arial" w:hint="default"/>
      </w:rPr>
    </w:lvl>
    <w:lvl w:ilvl="6" w:tplc="E932CCE6" w:tentative="1">
      <w:start w:val="1"/>
      <w:numFmt w:val="bullet"/>
      <w:lvlText w:val="•"/>
      <w:lvlJc w:val="left"/>
      <w:pPr>
        <w:tabs>
          <w:tab w:val="num" w:pos="5040"/>
        </w:tabs>
        <w:ind w:left="5040" w:hanging="360"/>
      </w:pPr>
      <w:rPr>
        <w:rFonts w:ascii="Arial" w:hAnsi="Arial" w:hint="default"/>
      </w:rPr>
    </w:lvl>
    <w:lvl w:ilvl="7" w:tplc="180032B0" w:tentative="1">
      <w:start w:val="1"/>
      <w:numFmt w:val="bullet"/>
      <w:lvlText w:val="•"/>
      <w:lvlJc w:val="left"/>
      <w:pPr>
        <w:tabs>
          <w:tab w:val="num" w:pos="5760"/>
        </w:tabs>
        <w:ind w:left="5760" w:hanging="360"/>
      </w:pPr>
      <w:rPr>
        <w:rFonts w:ascii="Arial" w:hAnsi="Arial" w:hint="default"/>
      </w:rPr>
    </w:lvl>
    <w:lvl w:ilvl="8" w:tplc="FC8E72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84529E"/>
    <w:multiLevelType w:val="hybridMultilevel"/>
    <w:tmpl w:val="9AD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636EE"/>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846967"/>
    <w:multiLevelType w:val="hybridMultilevel"/>
    <w:tmpl w:val="B2F04C02"/>
    <w:lvl w:ilvl="0" w:tplc="5EEC140C">
      <w:start w:val="1"/>
      <w:numFmt w:val="bullet"/>
      <w:lvlText w:val=""/>
      <w:lvlJc w:val="left"/>
      <w:pPr>
        <w:tabs>
          <w:tab w:val="num" w:pos="720"/>
        </w:tabs>
        <w:ind w:left="720" w:hanging="360"/>
      </w:pPr>
      <w:rPr>
        <w:rFonts w:ascii="Wingdings" w:hAnsi="Wingdings" w:hint="default"/>
      </w:rPr>
    </w:lvl>
    <w:lvl w:ilvl="1" w:tplc="948C3B06">
      <w:numFmt w:val="bullet"/>
      <w:lvlText w:val="o"/>
      <w:lvlJc w:val="left"/>
      <w:pPr>
        <w:tabs>
          <w:tab w:val="num" w:pos="1440"/>
        </w:tabs>
        <w:ind w:left="1440" w:hanging="360"/>
      </w:pPr>
      <w:rPr>
        <w:rFonts w:ascii="Courier New" w:hAnsi="Courier New" w:hint="default"/>
      </w:rPr>
    </w:lvl>
    <w:lvl w:ilvl="2" w:tplc="D5326994" w:tentative="1">
      <w:start w:val="1"/>
      <w:numFmt w:val="bullet"/>
      <w:lvlText w:val=""/>
      <w:lvlJc w:val="left"/>
      <w:pPr>
        <w:tabs>
          <w:tab w:val="num" w:pos="2160"/>
        </w:tabs>
        <w:ind w:left="2160" w:hanging="360"/>
      </w:pPr>
      <w:rPr>
        <w:rFonts w:ascii="Wingdings" w:hAnsi="Wingdings" w:hint="default"/>
      </w:rPr>
    </w:lvl>
    <w:lvl w:ilvl="3" w:tplc="DB4A4AA0" w:tentative="1">
      <w:start w:val="1"/>
      <w:numFmt w:val="bullet"/>
      <w:lvlText w:val=""/>
      <w:lvlJc w:val="left"/>
      <w:pPr>
        <w:tabs>
          <w:tab w:val="num" w:pos="2880"/>
        </w:tabs>
        <w:ind w:left="2880" w:hanging="360"/>
      </w:pPr>
      <w:rPr>
        <w:rFonts w:ascii="Wingdings" w:hAnsi="Wingdings" w:hint="default"/>
      </w:rPr>
    </w:lvl>
    <w:lvl w:ilvl="4" w:tplc="420C1892" w:tentative="1">
      <w:start w:val="1"/>
      <w:numFmt w:val="bullet"/>
      <w:lvlText w:val=""/>
      <w:lvlJc w:val="left"/>
      <w:pPr>
        <w:tabs>
          <w:tab w:val="num" w:pos="3600"/>
        </w:tabs>
        <w:ind w:left="3600" w:hanging="360"/>
      </w:pPr>
      <w:rPr>
        <w:rFonts w:ascii="Wingdings" w:hAnsi="Wingdings" w:hint="default"/>
      </w:rPr>
    </w:lvl>
    <w:lvl w:ilvl="5" w:tplc="0204AD02" w:tentative="1">
      <w:start w:val="1"/>
      <w:numFmt w:val="bullet"/>
      <w:lvlText w:val=""/>
      <w:lvlJc w:val="left"/>
      <w:pPr>
        <w:tabs>
          <w:tab w:val="num" w:pos="4320"/>
        </w:tabs>
        <w:ind w:left="4320" w:hanging="360"/>
      </w:pPr>
      <w:rPr>
        <w:rFonts w:ascii="Wingdings" w:hAnsi="Wingdings" w:hint="default"/>
      </w:rPr>
    </w:lvl>
    <w:lvl w:ilvl="6" w:tplc="C5FAB38A" w:tentative="1">
      <w:start w:val="1"/>
      <w:numFmt w:val="bullet"/>
      <w:lvlText w:val=""/>
      <w:lvlJc w:val="left"/>
      <w:pPr>
        <w:tabs>
          <w:tab w:val="num" w:pos="5040"/>
        </w:tabs>
        <w:ind w:left="5040" w:hanging="360"/>
      </w:pPr>
      <w:rPr>
        <w:rFonts w:ascii="Wingdings" w:hAnsi="Wingdings" w:hint="default"/>
      </w:rPr>
    </w:lvl>
    <w:lvl w:ilvl="7" w:tplc="314EE760" w:tentative="1">
      <w:start w:val="1"/>
      <w:numFmt w:val="bullet"/>
      <w:lvlText w:val=""/>
      <w:lvlJc w:val="left"/>
      <w:pPr>
        <w:tabs>
          <w:tab w:val="num" w:pos="5760"/>
        </w:tabs>
        <w:ind w:left="5760" w:hanging="360"/>
      </w:pPr>
      <w:rPr>
        <w:rFonts w:ascii="Wingdings" w:hAnsi="Wingdings" w:hint="default"/>
      </w:rPr>
    </w:lvl>
    <w:lvl w:ilvl="8" w:tplc="D9B22C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8660D"/>
    <w:multiLevelType w:val="hybridMultilevel"/>
    <w:tmpl w:val="A30812D4"/>
    <w:lvl w:ilvl="0" w:tplc="C15ECF0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E2D17"/>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0B40BD"/>
    <w:multiLevelType w:val="hybridMultilevel"/>
    <w:tmpl w:val="C8E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D50AB"/>
    <w:multiLevelType w:val="hybridMultilevel"/>
    <w:tmpl w:val="F1D63762"/>
    <w:lvl w:ilvl="0" w:tplc="F506A78C">
      <w:start w:val="1"/>
      <w:numFmt w:val="bullet"/>
      <w:lvlText w:val="•"/>
      <w:lvlJc w:val="left"/>
      <w:pPr>
        <w:tabs>
          <w:tab w:val="num" w:pos="720"/>
        </w:tabs>
        <w:ind w:left="720" w:hanging="360"/>
      </w:pPr>
      <w:rPr>
        <w:rFonts w:ascii="Arial" w:hAnsi="Arial" w:hint="default"/>
      </w:rPr>
    </w:lvl>
    <w:lvl w:ilvl="1" w:tplc="10CA8F5E" w:tentative="1">
      <w:start w:val="1"/>
      <w:numFmt w:val="bullet"/>
      <w:lvlText w:val="•"/>
      <w:lvlJc w:val="left"/>
      <w:pPr>
        <w:tabs>
          <w:tab w:val="num" w:pos="1440"/>
        </w:tabs>
        <w:ind w:left="1440" w:hanging="360"/>
      </w:pPr>
      <w:rPr>
        <w:rFonts w:ascii="Arial" w:hAnsi="Arial" w:hint="default"/>
      </w:rPr>
    </w:lvl>
    <w:lvl w:ilvl="2" w:tplc="84B496BA" w:tentative="1">
      <w:start w:val="1"/>
      <w:numFmt w:val="bullet"/>
      <w:lvlText w:val="•"/>
      <w:lvlJc w:val="left"/>
      <w:pPr>
        <w:tabs>
          <w:tab w:val="num" w:pos="2160"/>
        </w:tabs>
        <w:ind w:left="2160" w:hanging="360"/>
      </w:pPr>
      <w:rPr>
        <w:rFonts w:ascii="Arial" w:hAnsi="Arial" w:hint="default"/>
      </w:rPr>
    </w:lvl>
    <w:lvl w:ilvl="3" w:tplc="C73CEA10" w:tentative="1">
      <w:start w:val="1"/>
      <w:numFmt w:val="bullet"/>
      <w:lvlText w:val="•"/>
      <w:lvlJc w:val="left"/>
      <w:pPr>
        <w:tabs>
          <w:tab w:val="num" w:pos="2880"/>
        </w:tabs>
        <w:ind w:left="2880" w:hanging="360"/>
      </w:pPr>
      <w:rPr>
        <w:rFonts w:ascii="Arial" w:hAnsi="Arial" w:hint="default"/>
      </w:rPr>
    </w:lvl>
    <w:lvl w:ilvl="4" w:tplc="F4D40338" w:tentative="1">
      <w:start w:val="1"/>
      <w:numFmt w:val="bullet"/>
      <w:lvlText w:val="•"/>
      <w:lvlJc w:val="left"/>
      <w:pPr>
        <w:tabs>
          <w:tab w:val="num" w:pos="3600"/>
        </w:tabs>
        <w:ind w:left="3600" w:hanging="360"/>
      </w:pPr>
      <w:rPr>
        <w:rFonts w:ascii="Arial" w:hAnsi="Arial" w:hint="default"/>
      </w:rPr>
    </w:lvl>
    <w:lvl w:ilvl="5" w:tplc="F782E7C2" w:tentative="1">
      <w:start w:val="1"/>
      <w:numFmt w:val="bullet"/>
      <w:lvlText w:val="•"/>
      <w:lvlJc w:val="left"/>
      <w:pPr>
        <w:tabs>
          <w:tab w:val="num" w:pos="4320"/>
        </w:tabs>
        <w:ind w:left="4320" w:hanging="360"/>
      </w:pPr>
      <w:rPr>
        <w:rFonts w:ascii="Arial" w:hAnsi="Arial" w:hint="default"/>
      </w:rPr>
    </w:lvl>
    <w:lvl w:ilvl="6" w:tplc="9BEC3DCA" w:tentative="1">
      <w:start w:val="1"/>
      <w:numFmt w:val="bullet"/>
      <w:lvlText w:val="•"/>
      <w:lvlJc w:val="left"/>
      <w:pPr>
        <w:tabs>
          <w:tab w:val="num" w:pos="5040"/>
        </w:tabs>
        <w:ind w:left="5040" w:hanging="360"/>
      </w:pPr>
      <w:rPr>
        <w:rFonts w:ascii="Arial" w:hAnsi="Arial" w:hint="default"/>
      </w:rPr>
    </w:lvl>
    <w:lvl w:ilvl="7" w:tplc="EB56D6D0" w:tentative="1">
      <w:start w:val="1"/>
      <w:numFmt w:val="bullet"/>
      <w:lvlText w:val="•"/>
      <w:lvlJc w:val="left"/>
      <w:pPr>
        <w:tabs>
          <w:tab w:val="num" w:pos="5760"/>
        </w:tabs>
        <w:ind w:left="5760" w:hanging="360"/>
      </w:pPr>
      <w:rPr>
        <w:rFonts w:ascii="Arial" w:hAnsi="Arial" w:hint="default"/>
      </w:rPr>
    </w:lvl>
    <w:lvl w:ilvl="8" w:tplc="8440F0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934065"/>
    <w:multiLevelType w:val="hybridMultilevel"/>
    <w:tmpl w:val="5C4A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86E3E"/>
    <w:multiLevelType w:val="hybridMultilevel"/>
    <w:tmpl w:val="36163318"/>
    <w:lvl w:ilvl="0" w:tplc="7966BC68">
      <w:start w:val="1"/>
      <w:numFmt w:val="bullet"/>
      <w:lvlText w:val="•"/>
      <w:lvlJc w:val="left"/>
      <w:pPr>
        <w:tabs>
          <w:tab w:val="num" w:pos="720"/>
        </w:tabs>
        <w:ind w:left="720" w:hanging="360"/>
      </w:pPr>
      <w:rPr>
        <w:rFonts w:ascii="Arial" w:hAnsi="Arial" w:hint="default"/>
      </w:rPr>
    </w:lvl>
    <w:lvl w:ilvl="1" w:tplc="7264EEAC" w:tentative="1">
      <w:start w:val="1"/>
      <w:numFmt w:val="bullet"/>
      <w:lvlText w:val="•"/>
      <w:lvlJc w:val="left"/>
      <w:pPr>
        <w:tabs>
          <w:tab w:val="num" w:pos="1440"/>
        </w:tabs>
        <w:ind w:left="1440" w:hanging="360"/>
      </w:pPr>
      <w:rPr>
        <w:rFonts w:ascii="Arial" w:hAnsi="Arial" w:hint="default"/>
      </w:rPr>
    </w:lvl>
    <w:lvl w:ilvl="2" w:tplc="D11816A8" w:tentative="1">
      <w:start w:val="1"/>
      <w:numFmt w:val="bullet"/>
      <w:lvlText w:val="•"/>
      <w:lvlJc w:val="left"/>
      <w:pPr>
        <w:tabs>
          <w:tab w:val="num" w:pos="2160"/>
        </w:tabs>
        <w:ind w:left="2160" w:hanging="360"/>
      </w:pPr>
      <w:rPr>
        <w:rFonts w:ascii="Arial" w:hAnsi="Arial" w:hint="default"/>
      </w:rPr>
    </w:lvl>
    <w:lvl w:ilvl="3" w:tplc="B3E87C60" w:tentative="1">
      <w:start w:val="1"/>
      <w:numFmt w:val="bullet"/>
      <w:lvlText w:val="•"/>
      <w:lvlJc w:val="left"/>
      <w:pPr>
        <w:tabs>
          <w:tab w:val="num" w:pos="2880"/>
        </w:tabs>
        <w:ind w:left="2880" w:hanging="360"/>
      </w:pPr>
      <w:rPr>
        <w:rFonts w:ascii="Arial" w:hAnsi="Arial" w:hint="default"/>
      </w:rPr>
    </w:lvl>
    <w:lvl w:ilvl="4" w:tplc="CF381F66" w:tentative="1">
      <w:start w:val="1"/>
      <w:numFmt w:val="bullet"/>
      <w:lvlText w:val="•"/>
      <w:lvlJc w:val="left"/>
      <w:pPr>
        <w:tabs>
          <w:tab w:val="num" w:pos="3600"/>
        </w:tabs>
        <w:ind w:left="3600" w:hanging="360"/>
      </w:pPr>
      <w:rPr>
        <w:rFonts w:ascii="Arial" w:hAnsi="Arial" w:hint="default"/>
      </w:rPr>
    </w:lvl>
    <w:lvl w:ilvl="5" w:tplc="F6E66A6E" w:tentative="1">
      <w:start w:val="1"/>
      <w:numFmt w:val="bullet"/>
      <w:lvlText w:val="•"/>
      <w:lvlJc w:val="left"/>
      <w:pPr>
        <w:tabs>
          <w:tab w:val="num" w:pos="4320"/>
        </w:tabs>
        <w:ind w:left="4320" w:hanging="360"/>
      </w:pPr>
      <w:rPr>
        <w:rFonts w:ascii="Arial" w:hAnsi="Arial" w:hint="default"/>
      </w:rPr>
    </w:lvl>
    <w:lvl w:ilvl="6" w:tplc="A056A312" w:tentative="1">
      <w:start w:val="1"/>
      <w:numFmt w:val="bullet"/>
      <w:lvlText w:val="•"/>
      <w:lvlJc w:val="left"/>
      <w:pPr>
        <w:tabs>
          <w:tab w:val="num" w:pos="5040"/>
        </w:tabs>
        <w:ind w:left="5040" w:hanging="360"/>
      </w:pPr>
      <w:rPr>
        <w:rFonts w:ascii="Arial" w:hAnsi="Arial" w:hint="default"/>
      </w:rPr>
    </w:lvl>
    <w:lvl w:ilvl="7" w:tplc="8C38A85C" w:tentative="1">
      <w:start w:val="1"/>
      <w:numFmt w:val="bullet"/>
      <w:lvlText w:val="•"/>
      <w:lvlJc w:val="left"/>
      <w:pPr>
        <w:tabs>
          <w:tab w:val="num" w:pos="5760"/>
        </w:tabs>
        <w:ind w:left="5760" w:hanging="360"/>
      </w:pPr>
      <w:rPr>
        <w:rFonts w:ascii="Arial" w:hAnsi="Arial" w:hint="default"/>
      </w:rPr>
    </w:lvl>
    <w:lvl w:ilvl="8" w:tplc="5C74263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384DE4"/>
    <w:multiLevelType w:val="hybridMultilevel"/>
    <w:tmpl w:val="84F2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530DF"/>
    <w:multiLevelType w:val="hybridMultilevel"/>
    <w:tmpl w:val="242C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65EB0"/>
    <w:multiLevelType w:val="multilevel"/>
    <w:tmpl w:val="78965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F57AB1"/>
    <w:multiLevelType w:val="hybridMultilevel"/>
    <w:tmpl w:val="6C9AB95C"/>
    <w:lvl w:ilvl="0" w:tplc="8AD48376">
      <w:start w:val="1"/>
      <w:numFmt w:val="bullet"/>
      <w:lvlText w:val=""/>
      <w:lvlJc w:val="left"/>
      <w:pPr>
        <w:tabs>
          <w:tab w:val="num" w:pos="720"/>
        </w:tabs>
        <w:ind w:left="720" w:hanging="360"/>
      </w:pPr>
      <w:rPr>
        <w:rFonts w:ascii="Wingdings 3" w:hAnsi="Wingdings 3" w:hint="default"/>
      </w:rPr>
    </w:lvl>
    <w:lvl w:ilvl="1" w:tplc="BE58D22C" w:tentative="1">
      <w:start w:val="1"/>
      <w:numFmt w:val="bullet"/>
      <w:lvlText w:val=""/>
      <w:lvlJc w:val="left"/>
      <w:pPr>
        <w:tabs>
          <w:tab w:val="num" w:pos="1440"/>
        </w:tabs>
        <w:ind w:left="1440" w:hanging="360"/>
      </w:pPr>
      <w:rPr>
        <w:rFonts w:ascii="Wingdings 3" w:hAnsi="Wingdings 3" w:hint="default"/>
      </w:rPr>
    </w:lvl>
    <w:lvl w:ilvl="2" w:tplc="957E9974" w:tentative="1">
      <w:start w:val="1"/>
      <w:numFmt w:val="bullet"/>
      <w:lvlText w:val=""/>
      <w:lvlJc w:val="left"/>
      <w:pPr>
        <w:tabs>
          <w:tab w:val="num" w:pos="2160"/>
        </w:tabs>
        <w:ind w:left="2160" w:hanging="360"/>
      </w:pPr>
      <w:rPr>
        <w:rFonts w:ascii="Wingdings 3" w:hAnsi="Wingdings 3" w:hint="default"/>
      </w:rPr>
    </w:lvl>
    <w:lvl w:ilvl="3" w:tplc="7166B84E" w:tentative="1">
      <w:start w:val="1"/>
      <w:numFmt w:val="bullet"/>
      <w:lvlText w:val=""/>
      <w:lvlJc w:val="left"/>
      <w:pPr>
        <w:tabs>
          <w:tab w:val="num" w:pos="2880"/>
        </w:tabs>
        <w:ind w:left="2880" w:hanging="360"/>
      </w:pPr>
      <w:rPr>
        <w:rFonts w:ascii="Wingdings 3" w:hAnsi="Wingdings 3" w:hint="default"/>
      </w:rPr>
    </w:lvl>
    <w:lvl w:ilvl="4" w:tplc="045EE204" w:tentative="1">
      <w:start w:val="1"/>
      <w:numFmt w:val="bullet"/>
      <w:lvlText w:val=""/>
      <w:lvlJc w:val="left"/>
      <w:pPr>
        <w:tabs>
          <w:tab w:val="num" w:pos="3600"/>
        </w:tabs>
        <w:ind w:left="3600" w:hanging="360"/>
      </w:pPr>
      <w:rPr>
        <w:rFonts w:ascii="Wingdings 3" w:hAnsi="Wingdings 3" w:hint="default"/>
      </w:rPr>
    </w:lvl>
    <w:lvl w:ilvl="5" w:tplc="3D7E7854" w:tentative="1">
      <w:start w:val="1"/>
      <w:numFmt w:val="bullet"/>
      <w:lvlText w:val=""/>
      <w:lvlJc w:val="left"/>
      <w:pPr>
        <w:tabs>
          <w:tab w:val="num" w:pos="4320"/>
        </w:tabs>
        <w:ind w:left="4320" w:hanging="360"/>
      </w:pPr>
      <w:rPr>
        <w:rFonts w:ascii="Wingdings 3" w:hAnsi="Wingdings 3" w:hint="default"/>
      </w:rPr>
    </w:lvl>
    <w:lvl w:ilvl="6" w:tplc="9D240246" w:tentative="1">
      <w:start w:val="1"/>
      <w:numFmt w:val="bullet"/>
      <w:lvlText w:val=""/>
      <w:lvlJc w:val="left"/>
      <w:pPr>
        <w:tabs>
          <w:tab w:val="num" w:pos="5040"/>
        </w:tabs>
        <w:ind w:left="5040" w:hanging="360"/>
      </w:pPr>
      <w:rPr>
        <w:rFonts w:ascii="Wingdings 3" w:hAnsi="Wingdings 3" w:hint="default"/>
      </w:rPr>
    </w:lvl>
    <w:lvl w:ilvl="7" w:tplc="97566A16" w:tentative="1">
      <w:start w:val="1"/>
      <w:numFmt w:val="bullet"/>
      <w:lvlText w:val=""/>
      <w:lvlJc w:val="left"/>
      <w:pPr>
        <w:tabs>
          <w:tab w:val="num" w:pos="5760"/>
        </w:tabs>
        <w:ind w:left="5760" w:hanging="360"/>
      </w:pPr>
      <w:rPr>
        <w:rFonts w:ascii="Wingdings 3" w:hAnsi="Wingdings 3" w:hint="default"/>
      </w:rPr>
    </w:lvl>
    <w:lvl w:ilvl="8" w:tplc="2D62787E"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7BC3455C"/>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EC6E9E"/>
    <w:multiLevelType w:val="hybridMultilevel"/>
    <w:tmpl w:val="F02C720E"/>
    <w:lvl w:ilvl="0" w:tplc="C15ECF0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A47DE"/>
    <w:multiLevelType w:val="hybridMultilevel"/>
    <w:tmpl w:val="DF6C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137CF"/>
    <w:multiLevelType w:val="hybridMultilevel"/>
    <w:tmpl w:val="A080EFA6"/>
    <w:lvl w:ilvl="0" w:tplc="41A6F996">
      <w:start w:val="1"/>
      <w:numFmt w:val="bullet"/>
      <w:lvlText w:val="•"/>
      <w:lvlJc w:val="left"/>
      <w:pPr>
        <w:tabs>
          <w:tab w:val="num" w:pos="720"/>
        </w:tabs>
        <w:ind w:left="720" w:hanging="360"/>
      </w:pPr>
      <w:rPr>
        <w:rFonts w:ascii="Arial" w:hAnsi="Arial" w:hint="default"/>
      </w:rPr>
    </w:lvl>
    <w:lvl w:ilvl="1" w:tplc="B8AC2FBE" w:tentative="1">
      <w:start w:val="1"/>
      <w:numFmt w:val="bullet"/>
      <w:lvlText w:val="•"/>
      <w:lvlJc w:val="left"/>
      <w:pPr>
        <w:tabs>
          <w:tab w:val="num" w:pos="1440"/>
        </w:tabs>
        <w:ind w:left="1440" w:hanging="360"/>
      </w:pPr>
      <w:rPr>
        <w:rFonts w:ascii="Arial" w:hAnsi="Arial" w:hint="default"/>
      </w:rPr>
    </w:lvl>
    <w:lvl w:ilvl="2" w:tplc="1682ECCA" w:tentative="1">
      <w:start w:val="1"/>
      <w:numFmt w:val="bullet"/>
      <w:lvlText w:val="•"/>
      <w:lvlJc w:val="left"/>
      <w:pPr>
        <w:tabs>
          <w:tab w:val="num" w:pos="2160"/>
        </w:tabs>
        <w:ind w:left="2160" w:hanging="360"/>
      </w:pPr>
      <w:rPr>
        <w:rFonts w:ascii="Arial" w:hAnsi="Arial" w:hint="default"/>
      </w:rPr>
    </w:lvl>
    <w:lvl w:ilvl="3" w:tplc="A154C290" w:tentative="1">
      <w:start w:val="1"/>
      <w:numFmt w:val="bullet"/>
      <w:lvlText w:val="•"/>
      <w:lvlJc w:val="left"/>
      <w:pPr>
        <w:tabs>
          <w:tab w:val="num" w:pos="2880"/>
        </w:tabs>
        <w:ind w:left="2880" w:hanging="360"/>
      </w:pPr>
      <w:rPr>
        <w:rFonts w:ascii="Arial" w:hAnsi="Arial" w:hint="default"/>
      </w:rPr>
    </w:lvl>
    <w:lvl w:ilvl="4" w:tplc="B6242630" w:tentative="1">
      <w:start w:val="1"/>
      <w:numFmt w:val="bullet"/>
      <w:lvlText w:val="•"/>
      <w:lvlJc w:val="left"/>
      <w:pPr>
        <w:tabs>
          <w:tab w:val="num" w:pos="3600"/>
        </w:tabs>
        <w:ind w:left="3600" w:hanging="360"/>
      </w:pPr>
      <w:rPr>
        <w:rFonts w:ascii="Arial" w:hAnsi="Arial" w:hint="default"/>
      </w:rPr>
    </w:lvl>
    <w:lvl w:ilvl="5" w:tplc="80166B70" w:tentative="1">
      <w:start w:val="1"/>
      <w:numFmt w:val="bullet"/>
      <w:lvlText w:val="•"/>
      <w:lvlJc w:val="left"/>
      <w:pPr>
        <w:tabs>
          <w:tab w:val="num" w:pos="4320"/>
        </w:tabs>
        <w:ind w:left="4320" w:hanging="360"/>
      </w:pPr>
      <w:rPr>
        <w:rFonts w:ascii="Arial" w:hAnsi="Arial" w:hint="default"/>
      </w:rPr>
    </w:lvl>
    <w:lvl w:ilvl="6" w:tplc="114004A8" w:tentative="1">
      <w:start w:val="1"/>
      <w:numFmt w:val="bullet"/>
      <w:lvlText w:val="•"/>
      <w:lvlJc w:val="left"/>
      <w:pPr>
        <w:tabs>
          <w:tab w:val="num" w:pos="5040"/>
        </w:tabs>
        <w:ind w:left="5040" w:hanging="360"/>
      </w:pPr>
      <w:rPr>
        <w:rFonts w:ascii="Arial" w:hAnsi="Arial" w:hint="default"/>
      </w:rPr>
    </w:lvl>
    <w:lvl w:ilvl="7" w:tplc="1A4053B2" w:tentative="1">
      <w:start w:val="1"/>
      <w:numFmt w:val="bullet"/>
      <w:lvlText w:val="•"/>
      <w:lvlJc w:val="left"/>
      <w:pPr>
        <w:tabs>
          <w:tab w:val="num" w:pos="5760"/>
        </w:tabs>
        <w:ind w:left="5760" w:hanging="360"/>
      </w:pPr>
      <w:rPr>
        <w:rFonts w:ascii="Arial" w:hAnsi="Arial" w:hint="default"/>
      </w:rPr>
    </w:lvl>
    <w:lvl w:ilvl="8" w:tplc="30769570"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5"/>
  </w:num>
  <w:num w:numId="3">
    <w:abstractNumId w:val="11"/>
  </w:num>
  <w:num w:numId="4">
    <w:abstractNumId w:val="13"/>
  </w:num>
  <w:num w:numId="5">
    <w:abstractNumId w:val="7"/>
  </w:num>
  <w:num w:numId="6">
    <w:abstractNumId w:val="12"/>
  </w:num>
  <w:num w:numId="7">
    <w:abstractNumId w:val="41"/>
  </w:num>
  <w:num w:numId="8">
    <w:abstractNumId w:val="26"/>
  </w:num>
  <w:num w:numId="9">
    <w:abstractNumId w:val="10"/>
  </w:num>
  <w:num w:numId="10">
    <w:abstractNumId w:val="18"/>
  </w:num>
  <w:num w:numId="11">
    <w:abstractNumId w:val="17"/>
  </w:num>
  <w:num w:numId="12">
    <w:abstractNumId w:val="37"/>
  </w:num>
  <w:num w:numId="13">
    <w:abstractNumId w:val="28"/>
  </w:num>
  <w:num w:numId="14">
    <w:abstractNumId w:val="45"/>
  </w:num>
  <w:num w:numId="15">
    <w:abstractNumId w:val="25"/>
  </w:num>
  <w:num w:numId="16">
    <w:abstractNumId w:val="39"/>
  </w:num>
  <w:num w:numId="17">
    <w:abstractNumId w:val="9"/>
  </w:num>
  <w:num w:numId="18">
    <w:abstractNumId w:val="3"/>
  </w:num>
  <w:num w:numId="19">
    <w:abstractNumId w:val="35"/>
  </w:num>
  <w:num w:numId="20">
    <w:abstractNumId w:val="4"/>
  </w:num>
  <w:num w:numId="21">
    <w:abstractNumId w:val="19"/>
  </w:num>
  <w:num w:numId="22">
    <w:abstractNumId w:val="24"/>
  </w:num>
  <w:num w:numId="23">
    <w:abstractNumId w:val="0"/>
  </w:num>
  <w:num w:numId="24">
    <w:abstractNumId w:val="30"/>
  </w:num>
  <w:num w:numId="25">
    <w:abstractNumId w:val="40"/>
  </w:num>
  <w:num w:numId="26">
    <w:abstractNumId w:val="20"/>
  </w:num>
  <w:num w:numId="27">
    <w:abstractNumId w:val="29"/>
  </w:num>
  <w:num w:numId="28">
    <w:abstractNumId w:val="22"/>
  </w:num>
  <w:num w:numId="29">
    <w:abstractNumId w:val="21"/>
  </w:num>
  <w:num w:numId="30">
    <w:abstractNumId w:val="33"/>
  </w:num>
  <w:num w:numId="31">
    <w:abstractNumId w:val="44"/>
  </w:num>
  <w:num w:numId="32">
    <w:abstractNumId w:val="31"/>
  </w:num>
  <w:num w:numId="33">
    <w:abstractNumId w:val="2"/>
  </w:num>
  <w:num w:numId="34">
    <w:abstractNumId w:val="34"/>
  </w:num>
  <w:num w:numId="35">
    <w:abstractNumId w:val="42"/>
  </w:num>
  <w:num w:numId="36">
    <w:abstractNumId w:val="27"/>
  </w:num>
  <w:num w:numId="37">
    <w:abstractNumId w:val="32"/>
  </w:num>
  <w:num w:numId="38">
    <w:abstractNumId w:val="23"/>
  </w:num>
  <w:num w:numId="39">
    <w:abstractNumId w:val="46"/>
  </w:num>
  <w:num w:numId="40">
    <w:abstractNumId w:val="6"/>
  </w:num>
  <w:num w:numId="41">
    <w:abstractNumId w:val="38"/>
  </w:num>
  <w:num w:numId="42">
    <w:abstractNumId w:val="14"/>
  </w:num>
  <w:num w:numId="43">
    <w:abstractNumId w:val="8"/>
  </w:num>
  <w:num w:numId="44">
    <w:abstractNumId w:val="36"/>
  </w:num>
  <w:num w:numId="45">
    <w:abstractNumId w:val="15"/>
  </w:num>
  <w:num w:numId="46">
    <w:abstractNumId w:val="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CF"/>
    <w:rsid w:val="0000184C"/>
    <w:rsid w:val="00003B0B"/>
    <w:rsid w:val="00005508"/>
    <w:rsid w:val="00005B46"/>
    <w:rsid w:val="00005DAF"/>
    <w:rsid w:val="0000736E"/>
    <w:rsid w:val="00010CE1"/>
    <w:rsid w:val="000113AE"/>
    <w:rsid w:val="00011C17"/>
    <w:rsid w:val="000166A3"/>
    <w:rsid w:val="00017192"/>
    <w:rsid w:val="000171A8"/>
    <w:rsid w:val="000210B4"/>
    <w:rsid w:val="0002514C"/>
    <w:rsid w:val="00026C73"/>
    <w:rsid w:val="00027CA6"/>
    <w:rsid w:val="00031FCB"/>
    <w:rsid w:val="00032479"/>
    <w:rsid w:val="00032B5C"/>
    <w:rsid w:val="000331B6"/>
    <w:rsid w:val="00034595"/>
    <w:rsid w:val="00034C8F"/>
    <w:rsid w:val="00035C5A"/>
    <w:rsid w:val="0004310C"/>
    <w:rsid w:val="00043BA1"/>
    <w:rsid w:val="0004767E"/>
    <w:rsid w:val="00047729"/>
    <w:rsid w:val="000503F0"/>
    <w:rsid w:val="000513E1"/>
    <w:rsid w:val="000528AD"/>
    <w:rsid w:val="00052942"/>
    <w:rsid w:val="00052F3D"/>
    <w:rsid w:val="000545F4"/>
    <w:rsid w:val="00055DD8"/>
    <w:rsid w:val="00056BE0"/>
    <w:rsid w:val="000572E0"/>
    <w:rsid w:val="00057C69"/>
    <w:rsid w:val="000629C1"/>
    <w:rsid w:val="00065A2B"/>
    <w:rsid w:val="00066E97"/>
    <w:rsid w:val="0006758D"/>
    <w:rsid w:val="00067BD6"/>
    <w:rsid w:val="00067EE2"/>
    <w:rsid w:val="0007089B"/>
    <w:rsid w:val="00070A31"/>
    <w:rsid w:val="000738DD"/>
    <w:rsid w:val="0007671D"/>
    <w:rsid w:val="0007674F"/>
    <w:rsid w:val="000804FA"/>
    <w:rsid w:val="000838E3"/>
    <w:rsid w:val="00083A91"/>
    <w:rsid w:val="000840E1"/>
    <w:rsid w:val="00085CE8"/>
    <w:rsid w:val="00090DED"/>
    <w:rsid w:val="0009202B"/>
    <w:rsid w:val="00092C1F"/>
    <w:rsid w:val="0009420A"/>
    <w:rsid w:val="000966A0"/>
    <w:rsid w:val="000A0BC7"/>
    <w:rsid w:val="000A255D"/>
    <w:rsid w:val="000A26E0"/>
    <w:rsid w:val="000A4316"/>
    <w:rsid w:val="000A47AA"/>
    <w:rsid w:val="000A56CF"/>
    <w:rsid w:val="000A582E"/>
    <w:rsid w:val="000A6A63"/>
    <w:rsid w:val="000A6BDC"/>
    <w:rsid w:val="000A7523"/>
    <w:rsid w:val="000B1EC6"/>
    <w:rsid w:val="000B4E65"/>
    <w:rsid w:val="000B5DD5"/>
    <w:rsid w:val="000B5F00"/>
    <w:rsid w:val="000B6D39"/>
    <w:rsid w:val="000C2C74"/>
    <w:rsid w:val="000C6BAF"/>
    <w:rsid w:val="000C6C9F"/>
    <w:rsid w:val="000C7768"/>
    <w:rsid w:val="000D275A"/>
    <w:rsid w:val="000D46B5"/>
    <w:rsid w:val="000D5531"/>
    <w:rsid w:val="000D61FB"/>
    <w:rsid w:val="000D71CE"/>
    <w:rsid w:val="000D73B8"/>
    <w:rsid w:val="000D7856"/>
    <w:rsid w:val="000E0FA0"/>
    <w:rsid w:val="000E1645"/>
    <w:rsid w:val="000E77F8"/>
    <w:rsid w:val="000F1B04"/>
    <w:rsid w:val="000F3B91"/>
    <w:rsid w:val="000F65AA"/>
    <w:rsid w:val="000F6BF7"/>
    <w:rsid w:val="000F6CF7"/>
    <w:rsid w:val="000F77C4"/>
    <w:rsid w:val="00101FCE"/>
    <w:rsid w:val="00102586"/>
    <w:rsid w:val="001029CF"/>
    <w:rsid w:val="00103BA1"/>
    <w:rsid w:val="00104592"/>
    <w:rsid w:val="001048A2"/>
    <w:rsid w:val="001070DF"/>
    <w:rsid w:val="00107831"/>
    <w:rsid w:val="00107FCC"/>
    <w:rsid w:val="001105B1"/>
    <w:rsid w:val="00110996"/>
    <w:rsid w:val="00112CC5"/>
    <w:rsid w:val="00112E16"/>
    <w:rsid w:val="00112FBB"/>
    <w:rsid w:val="00113794"/>
    <w:rsid w:val="00114143"/>
    <w:rsid w:val="001156E4"/>
    <w:rsid w:val="00115C7A"/>
    <w:rsid w:val="00122012"/>
    <w:rsid w:val="001221EC"/>
    <w:rsid w:val="00126E1A"/>
    <w:rsid w:val="00127C59"/>
    <w:rsid w:val="00130790"/>
    <w:rsid w:val="00133943"/>
    <w:rsid w:val="001352F6"/>
    <w:rsid w:val="00135A9A"/>
    <w:rsid w:val="00136532"/>
    <w:rsid w:val="0013669E"/>
    <w:rsid w:val="00136F63"/>
    <w:rsid w:val="00137082"/>
    <w:rsid w:val="001375DE"/>
    <w:rsid w:val="00140520"/>
    <w:rsid w:val="00141B21"/>
    <w:rsid w:val="00142D3C"/>
    <w:rsid w:val="001509C7"/>
    <w:rsid w:val="00151AB9"/>
    <w:rsid w:val="00152B07"/>
    <w:rsid w:val="001532A8"/>
    <w:rsid w:val="001577B3"/>
    <w:rsid w:val="00157F58"/>
    <w:rsid w:val="00161AAC"/>
    <w:rsid w:val="001725C9"/>
    <w:rsid w:val="00173707"/>
    <w:rsid w:val="00174634"/>
    <w:rsid w:val="001763E2"/>
    <w:rsid w:val="00176D9D"/>
    <w:rsid w:val="00177F3E"/>
    <w:rsid w:val="0018002C"/>
    <w:rsid w:val="001818A0"/>
    <w:rsid w:val="00183BAB"/>
    <w:rsid w:val="00185F38"/>
    <w:rsid w:val="00187FF3"/>
    <w:rsid w:val="00193EB3"/>
    <w:rsid w:val="001954BB"/>
    <w:rsid w:val="0019593A"/>
    <w:rsid w:val="00195EC5"/>
    <w:rsid w:val="00196930"/>
    <w:rsid w:val="00196BEA"/>
    <w:rsid w:val="00197196"/>
    <w:rsid w:val="001978F0"/>
    <w:rsid w:val="00197E22"/>
    <w:rsid w:val="001A6374"/>
    <w:rsid w:val="001A735C"/>
    <w:rsid w:val="001B3163"/>
    <w:rsid w:val="001B772F"/>
    <w:rsid w:val="001C0C6D"/>
    <w:rsid w:val="001C1697"/>
    <w:rsid w:val="001C1A7E"/>
    <w:rsid w:val="001C1EFB"/>
    <w:rsid w:val="001C22A2"/>
    <w:rsid w:val="001C5826"/>
    <w:rsid w:val="001D24F8"/>
    <w:rsid w:val="001D6AF0"/>
    <w:rsid w:val="001D6D43"/>
    <w:rsid w:val="001E0C90"/>
    <w:rsid w:val="001E10AD"/>
    <w:rsid w:val="001E1147"/>
    <w:rsid w:val="001E2260"/>
    <w:rsid w:val="001E33E9"/>
    <w:rsid w:val="001E3853"/>
    <w:rsid w:val="001E3D0F"/>
    <w:rsid w:val="001E6A41"/>
    <w:rsid w:val="001E6EF5"/>
    <w:rsid w:val="001E78AE"/>
    <w:rsid w:val="001E7AB4"/>
    <w:rsid w:val="001E7C34"/>
    <w:rsid w:val="001F27C5"/>
    <w:rsid w:val="001F323D"/>
    <w:rsid w:val="001F37E6"/>
    <w:rsid w:val="00201CE6"/>
    <w:rsid w:val="00202D25"/>
    <w:rsid w:val="00203C3F"/>
    <w:rsid w:val="00205313"/>
    <w:rsid w:val="002106AB"/>
    <w:rsid w:val="002113D9"/>
    <w:rsid w:val="002132D6"/>
    <w:rsid w:val="00220F5B"/>
    <w:rsid w:val="002223F6"/>
    <w:rsid w:val="00224788"/>
    <w:rsid w:val="0022517C"/>
    <w:rsid w:val="002251A7"/>
    <w:rsid w:val="002251E8"/>
    <w:rsid w:val="00225203"/>
    <w:rsid w:val="002279CC"/>
    <w:rsid w:val="00230F04"/>
    <w:rsid w:val="00231A31"/>
    <w:rsid w:val="00233CEA"/>
    <w:rsid w:val="00233FB9"/>
    <w:rsid w:val="002341FD"/>
    <w:rsid w:val="002344DD"/>
    <w:rsid w:val="00234879"/>
    <w:rsid w:val="00234E8D"/>
    <w:rsid w:val="00235085"/>
    <w:rsid w:val="002414FD"/>
    <w:rsid w:val="00242356"/>
    <w:rsid w:val="00242F1F"/>
    <w:rsid w:val="00244647"/>
    <w:rsid w:val="00244822"/>
    <w:rsid w:val="0024534C"/>
    <w:rsid w:val="002457E7"/>
    <w:rsid w:val="00246DFC"/>
    <w:rsid w:val="002531F2"/>
    <w:rsid w:val="00253FFD"/>
    <w:rsid w:val="00257C9F"/>
    <w:rsid w:val="002600A9"/>
    <w:rsid w:val="00260FFF"/>
    <w:rsid w:val="00261150"/>
    <w:rsid w:val="002615AF"/>
    <w:rsid w:val="00261A7D"/>
    <w:rsid w:val="00261C86"/>
    <w:rsid w:val="002623BF"/>
    <w:rsid w:val="00263A98"/>
    <w:rsid w:val="00263C7A"/>
    <w:rsid w:val="00264158"/>
    <w:rsid w:val="00264A4A"/>
    <w:rsid w:val="00264C51"/>
    <w:rsid w:val="00265862"/>
    <w:rsid w:val="002659A3"/>
    <w:rsid w:val="00265BE4"/>
    <w:rsid w:val="002671B6"/>
    <w:rsid w:val="00271418"/>
    <w:rsid w:val="00271870"/>
    <w:rsid w:val="00271EAF"/>
    <w:rsid w:val="00272414"/>
    <w:rsid w:val="002727A6"/>
    <w:rsid w:val="00272B5B"/>
    <w:rsid w:val="00273078"/>
    <w:rsid w:val="00274D52"/>
    <w:rsid w:val="0027752E"/>
    <w:rsid w:val="002808B1"/>
    <w:rsid w:val="00282100"/>
    <w:rsid w:val="002839D3"/>
    <w:rsid w:val="00283A66"/>
    <w:rsid w:val="00287C4D"/>
    <w:rsid w:val="002915A0"/>
    <w:rsid w:val="00291932"/>
    <w:rsid w:val="00291A0A"/>
    <w:rsid w:val="00292286"/>
    <w:rsid w:val="00297554"/>
    <w:rsid w:val="00297565"/>
    <w:rsid w:val="00297C5D"/>
    <w:rsid w:val="002A0BBF"/>
    <w:rsid w:val="002A111B"/>
    <w:rsid w:val="002A1A04"/>
    <w:rsid w:val="002A4597"/>
    <w:rsid w:val="002A56ED"/>
    <w:rsid w:val="002B02F1"/>
    <w:rsid w:val="002B139F"/>
    <w:rsid w:val="002B4048"/>
    <w:rsid w:val="002B583E"/>
    <w:rsid w:val="002B71CD"/>
    <w:rsid w:val="002B758C"/>
    <w:rsid w:val="002C2E73"/>
    <w:rsid w:val="002C3A23"/>
    <w:rsid w:val="002C5AE8"/>
    <w:rsid w:val="002C64AF"/>
    <w:rsid w:val="002D1A35"/>
    <w:rsid w:val="002D2D4F"/>
    <w:rsid w:val="002D4A18"/>
    <w:rsid w:val="002D4A4B"/>
    <w:rsid w:val="002D4A90"/>
    <w:rsid w:val="002D4B7F"/>
    <w:rsid w:val="002D5784"/>
    <w:rsid w:val="002D5B22"/>
    <w:rsid w:val="002D5C28"/>
    <w:rsid w:val="002D5EAC"/>
    <w:rsid w:val="002E0DD3"/>
    <w:rsid w:val="002E16FE"/>
    <w:rsid w:val="002E3AE5"/>
    <w:rsid w:val="002E3D7D"/>
    <w:rsid w:val="002E5B3E"/>
    <w:rsid w:val="002F02A2"/>
    <w:rsid w:val="002F0C13"/>
    <w:rsid w:val="002F4C1D"/>
    <w:rsid w:val="002F4CC2"/>
    <w:rsid w:val="002F5926"/>
    <w:rsid w:val="002F742B"/>
    <w:rsid w:val="002F747F"/>
    <w:rsid w:val="002F7AA0"/>
    <w:rsid w:val="00301F96"/>
    <w:rsid w:val="00304158"/>
    <w:rsid w:val="0030419B"/>
    <w:rsid w:val="00304B02"/>
    <w:rsid w:val="00304E13"/>
    <w:rsid w:val="00306A70"/>
    <w:rsid w:val="00306BDD"/>
    <w:rsid w:val="00312022"/>
    <w:rsid w:val="0031239A"/>
    <w:rsid w:val="00313A8E"/>
    <w:rsid w:val="00314013"/>
    <w:rsid w:val="0031581D"/>
    <w:rsid w:val="00317311"/>
    <w:rsid w:val="0033328B"/>
    <w:rsid w:val="00334CBC"/>
    <w:rsid w:val="00335202"/>
    <w:rsid w:val="0033579C"/>
    <w:rsid w:val="00336B9D"/>
    <w:rsid w:val="00337A0C"/>
    <w:rsid w:val="003421E0"/>
    <w:rsid w:val="0034645B"/>
    <w:rsid w:val="00346715"/>
    <w:rsid w:val="0034784D"/>
    <w:rsid w:val="0035175D"/>
    <w:rsid w:val="00354B7B"/>
    <w:rsid w:val="003609AC"/>
    <w:rsid w:val="00361D68"/>
    <w:rsid w:val="00362D77"/>
    <w:rsid w:val="00362FB1"/>
    <w:rsid w:val="0036311E"/>
    <w:rsid w:val="00363760"/>
    <w:rsid w:val="0036381E"/>
    <w:rsid w:val="00364328"/>
    <w:rsid w:val="00366052"/>
    <w:rsid w:val="00366144"/>
    <w:rsid w:val="003676AE"/>
    <w:rsid w:val="003707D6"/>
    <w:rsid w:val="00370C23"/>
    <w:rsid w:val="00370D5B"/>
    <w:rsid w:val="0037189A"/>
    <w:rsid w:val="0037228F"/>
    <w:rsid w:val="0037309B"/>
    <w:rsid w:val="003732C2"/>
    <w:rsid w:val="00377538"/>
    <w:rsid w:val="00377B19"/>
    <w:rsid w:val="003815AA"/>
    <w:rsid w:val="00381CFA"/>
    <w:rsid w:val="00383D25"/>
    <w:rsid w:val="00384434"/>
    <w:rsid w:val="003854F9"/>
    <w:rsid w:val="00385C59"/>
    <w:rsid w:val="00387935"/>
    <w:rsid w:val="00390454"/>
    <w:rsid w:val="003917D6"/>
    <w:rsid w:val="00391987"/>
    <w:rsid w:val="0039344A"/>
    <w:rsid w:val="00394104"/>
    <w:rsid w:val="003953AD"/>
    <w:rsid w:val="00395B11"/>
    <w:rsid w:val="0039606E"/>
    <w:rsid w:val="003969E5"/>
    <w:rsid w:val="0039769D"/>
    <w:rsid w:val="00397A5D"/>
    <w:rsid w:val="00397E01"/>
    <w:rsid w:val="003A0FD5"/>
    <w:rsid w:val="003A5B6B"/>
    <w:rsid w:val="003B23D6"/>
    <w:rsid w:val="003B4FB8"/>
    <w:rsid w:val="003C1D33"/>
    <w:rsid w:val="003C2ACD"/>
    <w:rsid w:val="003C2AD9"/>
    <w:rsid w:val="003C3993"/>
    <w:rsid w:val="003C4F37"/>
    <w:rsid w:val="003C5D88"/>
    <w:rsid w:val="003C6ADF"/>
    <w:rsid w:val="003C71B7"/>
    <w:rsid w:val="003C7292"/>
    <w:rsid w:val="003D1172"/>
    <w:rsid w:val="003D23A1"/>
    <w:rsid w:val="003D5EE8"/>
    <w:rsid w:val="003D6D48"/>
    <w:rsid w:val="003D793D"/>
    <w:rsid w:val="003E249C"/>
    <w:rsid w:val="003E336E"/>
    <w:rsid w:val="003E4F83"/>
    <w:rsid w:val="003E651A"/>
    <w:rsid w:val="003F0895"/>
    <w:rsid w:val="003F2616"/>
    <w:rsid w:val="003F3D66"/>
    <w:rsid w:val="003F7282"/>
    <w:rsid w:val="004013C5"/>
    <w:rsid w:val="00402EC4"/>
    <w:rsid w:val="004047B0"/>
    <w:rsid w:val="00407071"/>
    <w:rsid w:val="004072CA"/>
    <w:rsid w:val="00407C7B"/>
    <w:rsid w:val="00407DD7"/>
    <w:rsid w:val="00411E51"/>
    <w:rsid w:val="00414891"/>
    <w:rsid w:val="004158DF"/>
    <w:rsid w:val="00421132"/>
    <w:rsid w:val="004214D5"/>
    <w:rsid w:val="00423533"/>
    <w:rsid w:val="00424E6B"/>
    <w:rsid w:val="00425044"/>
    <w:rsid w:val="00426414"/>
    <w:rsid w:val="00426835"/>
    <w:rsid w:val="00426867"/>
    <w:rsid w:val="00426943"/>
    <w:rsid w:val="0042732F"/>
    <w:rsid w:val="004325B4"/>
    <w:rsid w:val="00433475"/>
    <w:rsid w:val="00436B21"/>
    <w:rsid w:val="00436F38"/>
    <w:rsid w:val="0044374A"/>
    <w:rsid w:val="00445615"/>
    <w:rsid w:val="004469CB"/>
    <w:rsid w:val="004472EF"/>
    <w:rsid w:val="0044749F"/>
    <w:rsid w:val="00450643"/>
    <w:rsid w:val="00454671"/>
    <w:rsid w:val="004547FD"/>
    <w:rsid w:val="00456201"/>
    <w:rsid w:val="004564C9"/>
    <w:rsid w:val="00460E36"/>
    <w:rsid w:val="00463329"/>
    <w:rsid w:val="004644C6"/>
    <w:rsid w:val="0046742F"/>
    <w:rsid w:val="004707FE"/>
    <w:rsid w:val="00471CE5"/>
    <w:rsid w:val="00471D55"/>
    <w:rsid w:val="00474326"/>
    <w:rsid w:val="00475B6A"/>
    <w:rsid w:val="0047651B"/>
    <w:rsid w:val="004810FB"/>
    <w:rsid w:val="004815AA"/>
    <w:rsid w:val="00481988"/>
    <w:rsid w:val="00482516"/>
    <w:rsid w:val="004835C2"/>
    <w:rsid w:val="00483FE8"/>
    <w:rsid w:val="00484319"/>
    <w:rsid w:val="00484A00"/>
    <w:rsid w:val="0048604F"/>
    <w:rsid w:val="00490BB7"/>
    <w:rsid w:val="00491ACE"/>
    <w:rsid w:val="00494509"/>
    <w:rsid w:val="004960F9"/>
    <w:rsid w:val="00497907"/>
    <w:rsid w:val="004A0532"/>
    <w:rsid w:val="004A0577"/>
    <w:rsid w:val="004A1AC3"/>
    <w:rsid w:val="004A1B42"/>
    <w:rsid w:val="004A271C"/>
    <w:rsid w:val="004A56F6"/>
    <w:rsid w:val="004A5D87"/>
    <w:rsid w:val="004A6CE8"/>
    <w:rsid w:val="004A72D6"/>
    <w:rsid w:val="004A7412"/>
    <w:rsid w:val="004A7FB4"/>
    <w:rsid w:val="004B189C"/>
    <w:rsid w:val="004B1E09"/>
    <w:rsid w:val="004B2B19"/>
    <w:rsid w:val="004B5186"/>
    <w:rsid w:val="004C07B9"/>
    <w:rsid w:val="004C19DE"/>
    <w:rsid w:val="004C242D"/>
    <w:rsid w:val="004C2A71"/>
    <w:rsid w:val="004C2F9B"/>
    <w:rsid w:val="004C48C0"/>
    <w:rsid w:val="004C50B7"/>
    <w:rsid w:val="004C5EA0"/>
    <w:rsid w:val="004C6E6A"/>
    <w:rsid w:val="004C7CA1"/>
    <w:rsid w:val="004D1FEF"/>
    <w:rsid w:val="004D327A"/>
    <w:rsid w:val="004D3A28"/>
    <w:rsid w:val="004D4D8F"/>
    <w:rsid w:val="004D60A5"/>
    <w:rsid w:val="004D6BE6"/>
    <w:rsid w:val="004D6E27"/>
    <w:rsid w:val="004E4A88"/>
    <w:rsid w:val="004F16A4"/>
    <w:rsid w:val="004F2331"/>
    <w:rsid w:val="004F5929"/>
    <w:rsid w:val="004F5F66"/>
    <w:rsid w:val="004F62BF"/>
    <w:rsid w:val="004F6580"/>
    <w:rsid w:val="004F6A2B"/>
    <w:rsid w:val="00501411"/>
    <w:rsid w:val="00503328"/>
    <w:rsid w:val="00503758"/>
    <w:rsid w:val="0050387C"/>
    <w:rsid w:val="00504DD3"/>
    <w:rsid w:val="00505825"/>
    <w:rsid w:val="00510570"/>
    <w:rsid w:val="00510AA5"/>
    <w:rsid w:val="0051167F"/>
    <w:rsid w:val="005121E7"/>
    <w:rsid w:val="005126EE"/>
    <w:rsid w:val="00512EC1"/>
    <w:rsid w:val="005161F9"/>
    <w:rsid w:val="00516FE5"/>
    <w:rsid w:val="0051713D"/>
    <w:rsid w:val="005244EA"/>
    <w:rsid w:val="00526BF0"/>
    <w:rsid w:val="00526C34"/>
    <w:rsid w:val="005270C8"/>
    <w:rsid w:val="00534E3D"/>
    <w:rsid w:val="0053591A"/>
    <w:rsid w:val="00536DCC"/>
    <w:rsid w:val="00536F4B"/>
    <w:rsid w:val="00540D27"/>
    <w:rsid w:val="00541249"/>
    <w:rsid w:val="005416B6"/>
    <w:rsid w:val="0054313C"/>
    <w:rsid w:val="00544F85"/>
    <w:rsid w:val="005454F0"/>
    <w:rsid w:val="00545A34"/>
    <w:rsid w:val="00546F21"/>
    <w:rsid w:val="00550618"/>
    <w:rsid w:val="00550CEF"/>
    <w:rsid w:val="005515BC"/>
    <w:rsid w:val="00551A2D"/>
    <w:rsid w:val="005555BE"/>
    <w:rsid w:val="00556016"/>
    <w:rsid w:val="0055631A"/>
    <w:rsid w:val="00556516"/>
    <w:rsid w:val="00556A43"/>
    <w:rsid w:val="00557D19"/>
    <w:rsid w:val="005607DF"/>
    <w:rsid w:val="00562B24"/>
    <w:rsid w:val="00563A13"/>
    <w:rsid w:val="00564B7B"/>
    <w:rsid w:val="00565463"/>
    <w:rsid w:val="00565F1E"/>
    <w:rsid w:val="00566381"/>
    <w:rsid w:val="00567AE5"/>
    <w:rsid w:val="00570521"/>
    <w:rsid w:val="00570BC0"/>
    <w:rsid w:val="00571270"/>
    <w:rsid w:val="0057175E"/>
    <w:rsid w:val="00573A7E"/>
    <w:rsid w:val="00575201"/>
    <w:rsid w:val="0057684B"/>
    <w:rsid w:val="00576EF8"/>
    <w:rsid w:val="0057769C"/>
    <w:rsid w:val="00577F0C"/>
    <w:rsid w:val="005815F2"/>
    <w:rsid w:val="00581CF4"/>
    <w:rsid w:val="005832D6"/>
    <w:rsid w:val="0058335F"/>
    <w:rsid w:val="00585775"/>
    <w:rsid w:val="00587954"/>
    <w:rsid w:val="005900E0"/>
    <w:rsid w:val="005906B2"/>
    <w:rsid w:val="0059642D"/>
    <w:rsid w:val="00596CC6"/>
    <w:rsid w:val="005A0992"/>
    <w:rsid w:val="005A105F"/>
    <w:rsid w:val="005A1144"/>
    <w:rsid w:val="005A1208"/>
    <w:rsid w:val="005A274F"/>
    <w:rsid w:val="005A2995"/>
    <w:rsid w:val="005A2CA6"/>
    <w:rsid w:val="005A3DE2"/>
    <w:rsid w:val="005A6780"/>
    <w:rsid w:val="005A7B95"/>
    <w:rsid w:val="005B05B8"/>
    <w:rsid w:val="005B39FE"/>
    <w:rsid w:val="005B45A8"/>
    <w:rsid w:val="005B5A70"/>
    <w:rsid w:val="005B75F2"/>
    <w:rsid w:val="005C1162"/>
    <w:rsid w:val="005C15E7"/>
    <w:rsid w:val="005C3221"/>
    <w:rsid w:val="005C3D38"/>
    <w:rsid w:val="005C4643"/>
    <w:rsid w:val="005C54F5"/>
    <w:rsid w:val="005C5DF0"/>
    <w:rsid w:val="005C5E1F"/>
    <w:rsid w:val="005C6212"/>
    <w:rsid w:val="005C73A4"/>
    <w:rsid w:val="005C7601"/>
    <w:rsid w:val="005D3B69"/>
    <w:rsid w:val="005D715E"/>
    <w:rsid w:val="005D7B79"/>
    <w:rsid w:val="005E0E99"/>
    <w:rsid w:val="005E2594"/>
    <w:rsid w:val="005E41C2"/>
    <w:rsid w:val="005E4216"/>
    <w:rsid w:val="005E78C1"/>
    <w:rsid w:val="005F34FD"/>
    <w:rsid w:val="005F43C9"/>
    <w:rsid w:val="005F541E"/>
    <w:rsid w:val="005F726F"/>
    <w:rsid w:val="006002BA"/>
    <w:rsid w:val="00602CAD"/>
    <w:rsid w:val="006034D1"/>
    <w:rsid w:val="00603A83"/>
    <w:rsid w:val="00603F8F"/>
    <w:rsid w:val="006041DB"/>
    <w:rsid w:val="00605103"/>
    <w:rsid w:val="006102A1"/>
    <w:rsid w:val="00611C2C"/>
    <w:rsid w:val="0061313C"/>
    <w:rsid w:val="006133DE"/>
    <w:rsid w:val="00613A67"/>
    <w:rsid w:val="00615C42"/>
    <w:rsid w:val="006179F3"/>
    <w:rsid w:val="00620183"/>
    <w:rsid w:val="00620F16"/>
    <w:rsid w:val="00620FA5"/>
    <w:rsid w:val="00622A1C"/>
    <w:rsid w:val="0062413A"/>
    <w:rsid w:val="0062427A"/>
    <w:rsid w:val="006301A6"/>
    <w:rsid w:val="00630B31"/>
    <w:rsid w:val="006312AF"/>
    <w:rsid w:val="00632CD1"/>
    <w:rsid w:val="0063322E"/>
    <w:rsid w:val="006337AA"/>
    <w:rsid w:val="00636F81"/>
    <w:rsid w:val="006414AE"/>
    <w:rsid w:val="00642528"/>
    <w:rsid w:val="00642AD0"/>
    <w:rsid w:val="006438A5"/>
    <w:rsid w:val="00644F06"/>
    <w:rsid w:val="00645246"/>
    <w:rsid w:val="00645E64"/>
    <w:rsid w:val="00646713"/>
    <w:rsid w:val="00646743"/>
    <w:rsid w:val="006472CF"/>
    <w:rsid w:val="00650E9B"/>
    <w:rsid w:val="00652138"/>
    <w:rsid w:val="00652C3A"/>
    <w:rsid w:val="00652E09"/>
    <w:rsid w:val="00655EF6"/>
    <w:rsid w:val="006575C0"/>
    <w:rsid w:val="0066073A"/>
    <w:rsid w:val="00660C31"/>
    <w:rsid w:val="00660E91"/>
    <w:rsid w:val="00660ED5"/>
    <w:rsid w:val="00661178"/>
    <w:rsid w:val="00661A58"/>
    <w:rsid w:val="00663EB1"/>
    <w:rsid w:val="006641E6"/>
    <w:rsid w:val="00666BF2"/>
    <w:rsid w:val="006673D7"/>
    <w:rsid w:val="006677F4"/>
    <w:rsid w:val="00674D96"/>
    <w:rsid w:val="00676888"/>
    <w:rsid w:val="00676C56"/>
    <w:rsid w:val="00677B1C"/>
    <w:rsid w:val="006818E1"/>
    <w:rsid w:val="00684E69"/>
    <w:rsid w:val="00684EBB"/>
    <w:rsid w:val="00685D22"/>
    <w:rsid w:val="00686F80"/>
    <w:rsid w:val="00691496"/>
    <w:rsid w:val="00693DDE"/>
    <w:rsid w:val="006941D4"/>
    <w:rsid w:val="00695984"/>
    <w:rsid w:val="006A183A"/>
    <w:rsid w:val="006A3C88"/>
    <w:rsid w:val="006A456D"/>
    <w:rsid w:val="006A4FAB"/>
    <w:rsid w:val="006A556A"/>
    <w:rsid w:val="006A7997"/>
    <w:rsid w:val="006B1983"/>
    <w:rsid w:val="006B2219"/>
    <w:rsid w:val="006B22CB"/>
    <w:rsid w:val="006B2594"/>
    <w:rsid w:val="006B381F"/>
    <w:rsid w:val="006B45C9"/>
    <w:rsid w:val="006B6752"/>
    <w:rsid w:val="006C16DB"/>
    <w:rsid w:val="006C2E04"/>
    <w:rsid w:val="006C3DE1"/>
    <w:rsid w:val="006C690F"/>
    <w:rsid w:val="006C6B11"/>
    <w:rsid w:val="006C74CE"/>
    <w:rsid w:val="006D2BD2"/>
    <w:rsid w:val="006D3A9E"/>
    <w:rsid w:val="006D445C"/>
    <w:rsid w:val="006D6955"/>
    <w:rsid w:val="006D69CC"/>
    <w:rsid w:val="006E5FB7"/>
    <w:rsid w:val="006F08F6"/>
    <w:rsid w:val="006F3732"/>
    <w:rsid w:val="006F4D8A"/>
    <w:rsid w:val="006F515C"/>
    <w:rsid w:val="006F58AF"/>
    <w:rsid w:val="00701F86"/>
    <w:rsid w:val="00703271"/>
    <w:rsid w:val="007033A3"/>
    <w:rsid w:val="00703E9E"/>
    <w:rsid w:val="00710250"/>
    <w:rsid w:val="007108FB"/>
    <w:rsid w:val="007134DB"/>
    <w:rsid w:val="00714018"/>
    <w:rsid w:val="00715124"/>
    <w:rsid w:val="00717144"/>
    <w:rsid w:val="007177BC"/>
    <w:rsid w:val="0071789E"/>
    <w:rsid w:val="0072014F"/>
    <w:rsid w:val="007201EC"/>
    <w:rsid w:val="00720901"/>
    <w:rsid w:val="00721281"/>
    <w:rsid w:val="007264EE"/>
    <w:rsid w:val="007274CB"/>
    <w:rsid w:val="00731594"/>
    <w:rsid w:val="00732577"/>
    <w:rsid w:val="00734BC0"/>
    <w:rsid w:val="00734CF2"/>
    <w:rsid w:val="00735165"/>
    <w:rsid w:val="00736AE5"/>
    <w:rsid w:val="00736B66"/>
    <w:rsid w:val="00736F34"/>
    <w:rsid w:val="00741A90"/>
    <w:rsid w:val="00743E60"/>
    <w:rsid w:val="00745EFC"/>
    <w:rsid w:val="007472C6"/>
    <w:rsid w:val="00754C25"/>
    <w:rsid w:val="00754CCC"/>
    <w:rsid w:val="00756E53"/>
    <w:rsid w:val="00760C5B"/>
    <w:rsid w:val="00762C32"/>
    <w:rsid w:val="00763053"/>
    <w:rsid w:val="00764079"/>
    <w:rsid w:val="00764959"/>
    <w:rsid w:val="00765FC8"/>
    <w:rsid w:val="00771460"/>
    <w:rsid w:val="00774351"/>
    <w:rsid w:val="007743D7"/>
    <w:rsid w:val="00774BF8"/>
    <w:rsid w:val="00775412"/>
    <w:rsid w:val="007776F2"/>
    <w:rsid w:val="00781586"/>
    <w:rsid w:val="00782CD3"/>
    <w:rsid w:val="007855D0"/>
    <w:rsid w:val="00787739"/>
    <w:rsid w:val="0078778E"/>
    <w:rsid w:val="0078787D"/>
    <w:rsid w:val="00790CF2"/>
    <w:rsid w:val="00793188"/>
    <w:rsid w:val="00793244"/>
    <w:rsid w:val="00793387"/>
    <w:rsid w:val="00794537"/>
    <w:rsid w:val="0079565B"/>
    <w:rsid w:val="007A12FB"/>
    <w:rsid w:val="007A2B56"/>
    <w:rsid w:val="007A3833"/>
    <w:rsid w:val="007A50FC"/>
    <w:rsid w:val="007A53E5"/>
    <w:rsid w:val="007A5DC8"/>
    <w:rsid w:val="007A5FA9"/>
    <w:rsid w:val="007A7B6C"/>
    <w:rsid w:val="007B0356"/>
    <w:rsid w:val="007B3906"/>
    <w:rsid w:val="007B3D91"/>
    <w:rsid w:val="007B3FA5"/>
    <w:rsid w:val="007B4F7E"/>
    <w:rsid w:val="007B7AAA"/>
    <w:rsid w:val="007B7E85"/>
    <w:rsid w:val="007C042B"/>
    <w:rsid w:val="007C0478"/>
    <w:rsid w:val="007C0B93"/>
    <w:rsid w:val="007C1F07"/>
    <w:rsid w:val="007C273F"/>
    <w:rsid w:val="007C304E"/>
    <w:rsid w:val="007C5B76"/>
    <w:rsid w:val="007C747B"/>
    <w:rsid w:val="007D0700"/>
    <w:rsid w:val="007D1A13"/>
    <w:rsid w:val="007D44F2"/>
    <w:rsid w:val="007D473C"/>
    <w:rsid w:val="007D47BE"/>
    <w:rsid w:val="007D5D54"/>
    <w:rsid w:val="007D6736"/>
    <w:rsid w:val="007D690F"/>
    <w:rsid w:val="007D6DDC"/>
    <w:rsid w:val="007D6EB1"/>
    <w:rsid w:val="007D72D6"/>
    <w:rsid w:val="007D7421"/>
    <w:rsid w:val="007E031B"/>
    <w:rsid w:val="007E0E5A"/>
    <w:rsid w:val="007E1B89"/>
    <w:rsid w:val="007E25CF"/>
    <w:rsid w:val="007E2D90"/>
    <w:rsid w:val="007E32AB"/>
    <w:rsid w:val="007E6C4D"/>
    <w:rsid w:val="007E70E8"/>
    <w:rsid w:val="007E78F0"/>
    <w:rsid w:val="007E7E3F"/>
    <w:rsid w:val="007F072F"/>
    <w:rsid w:val="007F0ED4"/>
    <w:rsid w:val="007F13BC"/>
    <w:rsid w:val="007F18B7"/>
    <w:rsid w:val="007F52FA"/>
    <w:rsid w:val="007F5925"/>
    <w:rsid w:val="00800ABE"/>
    <w:rsid w:val="00802935"/>
    <w:rsid w:val="008044F6"/>
    <w:rsid w:val="00805E17"/>
    <w:rsid w:val="00805EA1"/>
    <w:rsid w:val="00811A12"/>
    <w:rsid w:val="0081347F"/>
    <w:rsid w:val="008145C7"/>
    <w:rsid w:val="00814860"/>
    <w:rsid w:val="008206B9"/>
    <w:rsid w:val="00821809"/>
    <w:rsid w:val="00822854"/>
    <w:rsid w:val="008252A1"/>
    <w:rsid w:val="0082536D"/>
    <w:rsid w:val="00826519"/>
    <w:rsid w:val="00827C73"/>
    <w:rsid w:val="008303CE"/>
    <w:rsid w:val="00830F59"/>
    <w:rsid w:val="008310A4"/>
    <w:rsid w:val="0083391B"/>
    <w:rsid w:val="00837C39"/>
    <w:rsid w:val="0084028E"/>
    <w:rsid w:val="0084073D"/>
    <w:rsid w:val="008416C9"/>
    <w:rsid w:val="00842AEF"/>
    <w:rsid w:val="00845557"/>
    <w:rsid w:val="00846AB3"/>
    <w:rsid w:val="00850E28"/>
    <w:rsid w:val="00851037"/>
    <w:rsid w:val="0085148D"/>
    <w:rsid w:val="008525A5"/>
    <w:rsid w:val="0085608F"/>
    <w:rsid w:val="00857B26"/>
    <w:rsid w:val="00860D7C"/>
    <w:rsid w:val="00861602"/>
    <w:rsid w:val="008626A5"/>
    <w:rsid w:val="008630EA"/>
    <w:rsid w:val="008644A3"/>
    <w:rsid w:val="00864570"/>
    <w:rsid w:val="00864FAA"/>
    <w:rsid w:val="008650EA"/>
    <w:rsid w:val="008662D2"/>
    <w:rsid w:val="00867C21"/>
    <w:rsid w:val="00867F7A"/>
    <w:rsid w:val="00870E36"/>
    <w:rsid w:val="0087285E"/>
    <w:rsid w:val="00872EA8"/>
    <w:rsid w:val="0087594D"/>
    <w:rsid w:val="008760D6"/>
    <w:rsid w:val="00876DC9"/>
    <w:rsid w:val="00882CD2"/>
    <w:rsid w:val="00882D24"/>
    <w:rsid w:val="00885B08"/>
    <w:rsid w:val="008879DD"/>
    <w:rsid w:val="00887A05"/>
    <w:rsid w:val="00887C81"/>
    <w:rsid w:val="00891316"/>
    <w:rsid w:val="00892FBA"/>
    <w:rsid w:val="00895021"/>
    <w:rsid w:val="00895A69"/>
    <w:rsid w:val="0089702C"/>
    <w:rsid w:val="008978B4"/>
    <w:rsid w:val="00897907"/>
    <w:rsid w:val="008A00A4"/>
    <w:rsid w:val="008A0CFA"/>
    <w:rsid w:val="008A1885"/>
    <w:rsid w:val="008A18F8"/>
    <w:rsid w:val="008A2016"/>
    <w:rsid w:val="008A2629"/>
    <w:rsid w:val="008A337A"/>
    <w:rsid w:val="008A411A"/>
    <w:rsid w:val="008A6825"/>
    <w:rsid w:val="008A6DED"/>
    <w:rsid w:val="008B25DC"/>
    <w:rsid w:val="008B6ACD"/>
    <w:rsid w:val="008B7964"/>
    <w:rsid w:val="008C03C7"/>
    <w:rsid w:val="008C28B4"/>
    <w:rsid w:val="008C374D"/>
    <w:rsid w:val="008C37E6"/>
    <w:rsid w:val="008C6E3A"/>
    <w:rsid w:val="008D0207"/>
    <w:rsid w:val="008D13DC"/>
    <w:rsid w:val="008D34A5"/>
    <w:rsid w:val="008D3C37"/>
    <w:rsid w:val="008D3FEA"/>
    <w:rsid w:val="008D5A56"/>
    <w:rsid w:val="008D60C8"/>
    <w:rsid w:val="008E3693"/>
    <w:rsid w:val="008E4196"/>
    <w:rsid w:val="008E4206"/>
    <w:rsid w:val="008E4C88"/>
    <w:rsid w:val="008F0939"/>
    <w:rsid w:val="008F0C40"/>
    <w:rsid w:val="008F0C50"/>
    <w:rsid w:val="008F191F"/>
    <w:rsid w:val="008F3DD8"/>
    <w:rsid w:val="008F4DAA"/>
    <w:rsid w:val="008F6775"/>
    <w:rsid w:val="008F6B3D"/>
    <w:rsid w:val="008F7B6E"/>
    <w:rsid w:val="009034EA"/>
    <w:rsid w:val="00903B65"/>
    <w:rsid w:val="00904120"/>
    <w:rsid w:val="00904653"/>
    <w:rsid w:val="0090617E"/>
    <w:rsid w:val="009105EE"/>
    <w:rsid w:val="00912137"/>
    <w:rsid w:val="009161D7"/>
    <w:rsid w:val="00916A9D"/>
    <w:rsid w:val="00920AC9"/>
    <w:rsid w:val="0092414D"/>
    <w:rsid w:val="0092429B"/>
    <w:rsid w:val="00925443"/>
    <w:rsid w:val="00925D32"/>
    <w:rsid w:val="00926B88"/>
    <w:rsid w:val="00930256"/>
    <w:rsid w:val="00931659"/>
    <w:rsid w:val="00931D6D"/>
    <w:rsid w:val="00933D39"/>
    <w:rsid w:val="00936E18"/>
    <w:rsid w:val="00936EE3"/>
    <w:rsid w:val="009372C7"/>
    <w:rsid w:val="00940328"/>
    <w:rsid w:val="009408CD"/>
    <w:rsid w:val="00941437"/>
    <w:rsid w:val="009423B8"/>
    <w:rsid w:val="009456F7"/>
    <w:rsid w:val="009469CA"/>
    <w:rsid w:val="0094738A"/>
    <w:rsid w:val="009517B2"/>
    <w:rsid w:val="00951B16"/>
    <w:rsid w:val="00952650"/>
    <w:rsid w:val="009534A5"/>
    <w:rsid w:val="00953EAD"/>
    <w:rsid w:val="009544F3"/>
    <w:rsid w:val="00961137"/>
    <w:rsid w:val="00961AC3"/>
    <w:rsid w:val="00961F3E"/>
    <w:rsid w:val="00964E70"/>
    <w:rsid w:val="00967333"/>
    <w:rsid w:val="0097066F"/>
    <w:rsid w:val="0097174A"/>
    <w:rsid w:val="0097195A"/>
    <w:rsid w:val="00971A17"/>
    <w:rsid w:val="009746B2"/>
    <w:rsid w:val="0097585B"/>
    <w:rsid w:val="00980870"/>
    <w:rsid w:val="00980BFB"/>
    <w:rsid w:val="009850C6"/>
    <w:rsid w:val="00985767"/>
    <w:rsid w:val="00985F01"/>
    <w:rsid w:val="00986446"/>
    <w:rsid w:val="00986FF9"/>
    <w:rsid w:val="00987736"/>
    <w:rsid w:val="00987D65"/>
    <w:rsid w:val="00987DF5"/>
    <w:rsid w:val="0099096E"/>
    <w:rsid w:val="00990BB2"/>
    <w:rsid w:val="00994F3E"/>
    <w:rsid w:val="00994F9D"/>
    <w:rsid w:val="009A0A12"/>
    <w:rsid w:val="009A0FFE"/>
    <w:rsid w:val="009A360A"/>
    <w:rsid w:val="009A3E49"/>
    <w:rsid w:val="009A50A7"/>
    <w:rsid w:val="009A57E8"/>
    <w:rsid w:val="009A7CA4"/>
    <w:rsid w:val="009B0BF5"/>
    <w:rsid w:val="009B24B7"/>
    <w:rsid w:val="009B445F"/>
    <w:rsid w:val="009B4EEB"/>
    <w:rsid w:val="009B50BB"/>
    <w:rsid w:val="009B60F7"/>
    <w:rsid w:val="009C0543"/>
    <w:rsid w:val="009C0DFE"/>
    <w:rsid w:val="009C20C3"/>
    <w:rsid w:val="009C2546"/>
    <w:rsid w:val="009C3270"/>
    <w:rsid w:val="009C3A15"/>
    <w:rsid w:val="009C3E98"/>
    <w:rsid w:val="009C40FB"/>
    <w:rsid w:val="009C5C5D"/>
    <w:rsid w:val="009C5F94"/>
    <w:rsid w:val="009C6BBE"/>
    <w:rsid w:val="009C763C"/>
    <w:rsid w:val="009D0C3F"/>
    <w:rsid w:val="009D589B"/>
    <w:rsid w:val="009D723B"/>
    <w:rsid w:val="009E0282"/>
    <w:rsid w:val="009E0BDB"/>
    <w:rsid w:val="009E3890"/>
    <w:rsid w:val="009E3A06"/>
    <w:rsid w:val="009E615B"/>
    <w:rsid w:val="009E76B3"/>
    <w:rsid w:val="009F14A3"/>
    <w:rsid w:val="009F546C"/>
    <w:rsid w:val="009F67BA"/>
    <w:rsid w:val="009F71BB"/>
    <w:rsid w:val="009F7E36"/>
    <w:rsid w:val="00A0237F"/>
    <w:rsid w:val="00A031F5"/>
    <w:rsid w:val="00A05E19"/>
    <w:rsid w:val="00A05F81"/>
    <w:rsid w:val="00A07747"/>
    <w:rsid w:val="00A104E5"/>
    <w:rsid w:val="00A10861"/>
    <w:rsid w:val="00A1139A"/>
    <w:rsid w:val="00A115A8"/>
    <w:rsid w:val="00A134BC"/>
    <w:rsid w:val="00A14983"/>
    <w:rsid w:val="00A15071"/>
    <w:rsid w:val="00A15781"/>
    <w:rsid w:val="00A16961"/>
    <w:rsid w:val="00A17A3D"/>
    <w:rsid w:val="00A17C68"/>
    <w:rsid w:val="00A20A59"/>
    <w:rsid w:val="00A231F4"/>
    <w:rsid w:val="00A24EBB"/>
    <w:rsid w:val="00A27239"/>
    <w:rsid w:val="00A275C4"/>
    <w:rsid w:val="00A301E7"/>
    <w:rsid w:val="00A30B5D"/>
    <w:rsid w:val="00A3289E"/>
    <w:rsid w:val="00A3453C"/>
    <w:rsid w:val="00A352FF"/>
    <w:rsid w:val="00A36370"/>
    <w:rsid w:val="00A36962"/>
    <w:rsid w:val="00A40733"/>
    <w:rsid w:val="00A42133"/>
    <w:rsid w:val="00A43024"/>
    <w:rsid w:val="00A43261"/>
    <w:rsid w:val="00A43351"/>
    <w:rsid w:val="00A43497"/>
    <w:rsid w:val="00A4433A"/>
    <w:rsid w:val="00A462BF"/>
    <w:rsid w:val="00A504AF"/>
    <w:rsid w:val="00A52A19"/>
    <w:rsid w:val="00A54066"/>
    <w:rsid w:val="00A566B1"/>
    <w:rsid w:val="00A61289"/>
    <w:rsid w:val="00A61C5F"/>
    <w:rsid w:val="00A6434B"/>
    <w:rsid w:val="00A66552"/>
    <w:rsid w:val="00A7036C"/>
    <w:rsid w:val="00A704C0"/>
    <w:rsid w:val="00A737AA"/>
    <w:rsid w:val="00A73D04"/>
    <w:rsid w:val="00A81359"/>
    <w:rsid w:val="00A82722"/>
    <w:rsid w:val="00A828D3"/>
    <w:rsid w:val="00A84843"/>
    <w:rsid w:val="00A85AAD"/>
    <w:rsid w:val="00A90A3B"/>
    <w:rsid w:val="00A9101B"/>
    <w:rsid w:val="00A91A47"/>
    <w:rsid w:val="00A92229"/>
    <w:rsid w:val="00A93AEA"/>
    <w:rsid w:val="00A94A6D"/>
    <w:rsid w:val="00A96DBC"/>
    <w:rsid w:val="00A97835"/>
    <w:rsid w:val="00AA26A7"/>
    <w:rsid w:val="00AA74AD"/>
    <w:rsid w:val="00AA75CD"/>
    <w:rsid w:val="00AA7738"/>
    <w:rsid w:val="00AA797F"/>
    <w:rsid w:val="00AB14D0"/>
    <w:rsid w:val="00AB2C3F"/>
    <w:rsid w:val="00AB3A46"/>
    <w:rsid w:val="00AB4033"/>
    <w:rsid w:val="00AB43C1"/>
    <w:rsid w:val="00AB5AF1"/>
    <w:rsid w:val="00AB5BD2"/>
    <w:rsid w:val="00AC05CB"/>
    <w:rsid w:val="00AC1729"/>
    <w:rsid w:val="00AC1A67"/>
    <w:rsid w:val="00AC2858"/>
    <w:rsid w:val="00AC34A6"/>
    <w:rsid w:val="00AC38EE"/>
    <w:rsid w:val="00AC3BD9"/>
    <w:rsid w:val="00AC51AA"/>
    <w:rsid w:val="00AC5D9F"/>
    <w:rsid w:val="00AC5E6A"/>
    <w:rsid w:val="00AC5EF1"/>
    <w:rsid w:val="00AC6D08"/>
    <w:rsid w:val="00AC795B"/>
    <w:rsid w:val="00AD04D3"/>
    <w:rsid w:val="00AD0A84"/>
    <w:rsid w:val="00AD3279"/>
    <w:rsid w:val="00AD36DD"/>
    <w:rsid w:val="00AD5305"/>
    <w:rsid w:val="00AD77D6"/>
    <w:rsid w:val="00AE083A"/>
    <w:rsid w:val="00AE26BB"/>
    <w:rsid w:val="00AE2825"/>
    <w:rsid w:val="00AE441F"/>
    <w:rsid w:val="00AE5AB4"/>
    <w:rsid w:val="00AE667E"/>
    <w:rsid w:val="00AE6AC3"/>
    <w:rsid w:val="00AF0E45"/>
    <w:rsid w:val="00AF1987"/>
    <w:rsid w:val="00AF1C15"/>
    <w:rsid w:val="00AF2545"/>
    <w:rsid w:val="00AF2FBB"/>
    <w:rsid w:val="00AF3907"/>
    <w:rsid w:val="00AF3C74"/>
    <w:rsid w:val="00AF68A1"/>
    <w:rsid w:val="00AF6E57"/>
    <w:rsid w:val="00AF754E"/>
    <w:rsid w:val="00B01071"/>
    <w:rsid w:val="00B010C5"/>
    <w:rsid w:val="00B013D8"/>
    <w:rsid w:val="00B02519"/>
    <w:rsid w:val="00B070A9"/>
    <w:rsid w:val="00B10C35"/>
    <w:rsid w:val="00B10FCF"/>
    <w:rsid w:val="00B11834"/>
    <w:rsid w:val="00B1208B"/>
    <w:rsid w:val="00B12DE2"/>
    <w:rsid w:val="00B134C7"/>
    <w:rsid w:val="00B13A49"/>
    <w:rsid w:val="00B15639"/>
    <w:rsid w:val="00B1781F"/>
    <w:rsid w:val="00B1783F"/>
    <w:rsid w:val="00B17C1C"/>
    <w:rsid w:val="00B20A42"/>
    <w:rsid w:val="00B22F93"/>
    <w:rsid w:val="00B23CA9"/>
    <w:rsid w:val="00B24D08"/>
    <w:rsid w:val="00B25262"/>
    <w:rsid w:val="00B26869"/>
    <w:rsid w:val="00B2726E"/>
    <w:rsid w:val="00B27AAE"/>
    <w:rsid w:val="00B3140E"/>
    <w:rsid w:val="00B34424"/>
    <w:rsid w:val="00B34F41"/>
    <w:rsid w:val="00B35C17"/>
    <w:rsid w:val="00B35CB0"/>
    <w:rsid w:val="00B36AEE"/>
    <w:rsid w:val="00B37CAD"/>
    <w:rsid w:val="00B420CA"/>
    <w:rsid w:val="00B456B9"/>
    <w:rsid w:val="00B52751"/>
    <w:rsid w:val="00B52D3E"/>
    <w:rsid w:val="00B53047"/>
    <w:rsid w:val="00B5342E"/>
    <w:rsid w:val="00B555AA"/>
    <w:rsid w:val="00B55DB7"/>
    <w:rsid w:val="00B562DE"/>
    <w:rsid w:val="00B610B4"/>
    <w:rsid w:val="00B611D5"/>
    <w:rsid w:val="00B657CF"/>
    <w:rsid w:val="00B66CE9"/>
    <w:rsid w:val="00B6784F"/>
    <w:rsid w:val="00B6795C"/>
    <w:rsid w:val="00B70A34"/>
    <w:rsid w:val="00B7159D"/>
    <w:rsid w:val="00B71925"/>
    <w:rsid w:val="00B72242"/>
    <w:rsid w:val="00B74359"/>
    <w:rsid w:val="00B75B2C"/>
    <w:rsid w:val="00B760C2"/>
    <w:rsid w:val="00B7748F"/>
    <w:rsid w:val="00B77EBF"/>
    <w:rsid w:val="00B77F78"/>
    <w:rsid w:val="00B8060E"/>
    <w:rsid w:val="00B80AFE"/>
    <w:rsid w:val="00B82A04"/>
    <w:rsid w:val="00B84472"/>
    <w:rsid w:val="00B855AB"/>
    <w:rsid w:val="00B85915"/>
    <w:rsid w:val="00B87699"/>
    <w:rsid w:val="00B92768"/>
    <w:rsid w:val="00B93565"/>
    <w:rsid w:val="00B97FF8"/>
    <w:rsid w:val="00BA0CAD"/>
    <w:rsid w:val="00BA144C"/>
    <w:rsid w:val="00BA1CCE"/>
    <w:rsid w:val="00BA2A93"/>
    <w:rsid w:val="00BA60F1"/>
    <w:rsid w:val="00BA73E7"/>
    <w:rsid w:val="00BB00FF"/>
    <w:rsid w:val="00BB31DA"/>
    <w:rsid w:val="00BB5CC3"/>
    <w:rsid w:val="00BB64A9"/>
    <w:rsid w:val="00BB6E1C"/>
    <w:rsid w:val="00BB71BC"/>
    <w:rsid w:val="00BB7555"/>
    <w:rsid w:val="00BB7F48"/>
    <w:rsid w:val="00BC0D1C"/>
    <w:rsid w:val="00BC0FAF"/>
    <w:rsid w:val="00BC131B"/>
    <w:rsid w:val="00BC23EA"/>
    <w:rsid w:val="00BC27B8"/>
    <w:rsid w:val="00BC4453"/>
    <w:rsid w:val="00BC5357"/>
    <w:rsid w:val="00BC72AA"/>
    <w:rsid w:val="00BC7BDF"/>
    <w:rsid w:val="00BD05BD"/>
    <w:rsid w:val="00BD16B8"/>
    <w:rsid w:val="00BD29F8"/>
    <w:rsid w:val="00BD38FA"/>
    <w:rsid w:val="00BD4BF1"/>
    <w:rsid w:val="00BD55A8"/>
    <w:rsid w:val="00BD660D"/>
    <w:rsid w:val="00BD688B"/>
    <w:rsid w:val="00BD7CE5"/>
    <w:rsid w:val="00BE07E2"/>
    <w:rsid w:val="00BE0D60"/>
    <w:rsid w:val="00BE23BE"/>
    <w:rsid w:val="00BE2C22"/>
    <w:rsid w:val="00BE3622"/>
    <w:rsid w:val="00BE698D"/>
    <w:rsid w:val="00BF035C"/>
    <w:rsid w:val="00BF3395"/>
    <w:rsid w:val="00BF3D56"/>
    <w:rsid w:val="00BF4500"/>
    <w:rsid w:val="00BF5019"/>
    <w:rsid w:val="00BF5D2D"/>
    <w:rsid w:val="00BF6D26"/>
    <w:rsid w:val="00C00873"/>
    <w:rsid w:val="00C013A0"/>
    <w:rsid w:val="00C01EBE"/>
    <w:rsid w:val="00C020C4"/>
    <w:rsid w:val="00C03823"/>
    <w:rsid w:val="00C066AF"/>
    <w:rsid w:val="00C07375"/>
    <w:rsid w:val="00C073EC"/>
    <w:rsid w:val="00C10B36"/>
    <w:rsid w:val="00C111DC"/>
    <w:rsid w:val="00C13264"/>
    <w:rsid w:val="00C1438B"/>
    <w:rsid w:val="00C144DA"/>
    <w:rsid w:val="00C167D8"/>
    <w:rsid w:val="00C20B0E"/>
    <w:rsid w:val="00C24861"/>
    <w:rsid w:val="00C24AD3"/>
    <w:rsid w:val="00C32462"/>
    <w:rsid w:val="00C33364"/>
    <w:rsid w:val="00C352E6"/>
    <w:rsid w:val="00C35AD6"/>
    <w:rsid w:val="00C40A64"/>
    <w:rsid w:val="00C427ED"/>
    <w:rsid w:val="00C461E2"/>
    <w:rsid w:val="00C4648E"/>
    <w:rsid w:val="00C51606"/>
    <w:rsid w:val="00C53AA5"/>
    <w:rsid w:val="00C55A6D"/>
    <w:rsid w:val="00C60602"/>
    <w:rsid w:val="00C6077F"/>
    <w:rsid w:val="00C61C4D"/>
    <w:rsid w:val="00C623C3"/>
    <w:rsid w:val="00C63772"/>
    <w:rsid w:val="00C64D51"/>
    <w:rsid w:val="00C660DB"/>
    <w:rsid w:val="00C675D4"/>
    <w:rsid w:val="00C72AFE"/>
    <w:rsid w:val="00C73DC9"/>
    <w:rsid w:val="00C74AD9"/>
    <w:rsid w:val="00C75BFB"/>
    <w:rsid w:val="00C76AC2"/>
    <w:rsid w:val="00C772C3"/>
    <w:rsid w:val="00C811EB"/>
    <w:rsid w:val="00C845B4"/>
    <w:rsid w:val="00C9121F"/>
    <w:rsid w:val="00C91DBE"/>
    <w:rsid w:val="00C92A8A"/>
    <w:rsid w:val="00C9599A"/>
    <w:rsid w:val="00C95F26"/>
    <w:rsid w:val="00CA2EFD"/>
    <w:rsid w:val="00CA3DC1"/>
    <w:rsid w:val="00CA508E"/>
    <w:rsid w:val="00CA6A98"/>
    <w:rsid w:val="00CA752A"/>
    <w:rsid w:val="00CB01B0"/>
    <w:rsid w:val="00CB02C7"/>
    <w:rsid w:val="00CB06D2"/>
    <w:rsid w:val="00CB1181"/>
    <w:rsid w:val="00CB11D7"/>
    <w:rsid w:val="00CB2073"/>
    <w:rsid w:val="00CB2234"/>
    <w:rsid w:val="00CB2661"/>
    <w:rsid w:val="00CB2CF0"/>
    <w:rsid w:val="00CB352E"/>
    <w:rsid w:val="00CB4445"/>
    <w:rsid w:val="00CB5208"/>
    <w:rsid w:val="00CB5777"/>
    <w:rsid w:val="00CB5E59"/>
    <w:rsid w:val="00CC1A0B"/>
    <w:rsid w:val="00CC39F6"/>
    <w:rsid w:val="00CC5934"/>
    <w:rsid w:val="00CC6957"/>
    <w:rsid w:val="00CC6F5F"/>
    <w:rsid w:val="00CC72E6"/>
    <w:rsid w:val="00CC7660"/>
    <w:rsid w:val="00CC79AE"/>
    <w:rsid w:val="00CC7BE0"/>
    <w:rsid w:val="00CD38C8"/>
    <w:rsid w:val="00CD6D0C"/>
    <w:rsid w:val="00CD78BD"/>
    <w:rsid w:val="00CD7EBB"/>
    <w:rsid w:val="00CE0819"/>
    <w:rsid w:val="00CE0A16"/>
    <w:rsid w:val="00CE1955"/>
    <w:rsid w:val="00CE1E2E"/>
    <w:rsid w:val="00CE2F49"/>
    <w:rsid w:val="00CE3306"/>
    <w:rsid w:val="00CE3ABA"/>
    <w:rsid w:val="00CE41AC"/>
    <w:rsid w:val="00CE6E99"/>
    <w:rsid w:val="00CE79E9"/>
    <w:rsid w:val="00CF3EBB"/>
    <w:rsid w:val="00CF682A"/>
    <w:rsid w:val="00CF6FC7"/>
    <w:rsid w:val="00D00EAB"/>
    <w:rsid w:val="00D01222"/>
    <w:rsid w:val="00D04F89"/>
    <w:rsid w:val="00D0532E"/>
    <w:rsid w:val="00D074A4"/>
    <w:rsid w:val="00D10539"/>
    <w:rsid w:val="00D12913"/>
    <w:rsid w:val="00D14B6A"/>
    <w:rsid w:val="00D1584B"/>
    <w:rsid w:val="00D16714"/>
    <w:rsid w:val="00D16B91"/>
    <w:rsid w:val="00D16BBC"/>
    <w:rsid w:val="00D16E98"/>
    <w:rsid w:val="00D16EE5"/>
    <w:rsid w:val="00D172E2"/>
    <w:rsid w:val="00D17340"/>
    <w:rsid w:val="00D175DE"/>
    <w:rsid w:val="00D179A6"/>
    <w:rsid w:val="00D17E53"/>
    <w:rsid w:val="00D23811"/>
    <w:rsid w:val="00D23887"/>
    <w:rsid w:val="00D24D79"/>
    <w:rsid w:val="00D25B87"/>
    <w:rsid w:val="00D303DC"/>
    <w:rsid w:val="00D30752"/>
    <w:rsid w:val="00D30862"/>
    <w:rsid w:val="00D30A1D"/>
    <w:rsid w:val="00D32244"/>
    <w:rsid w:val="00D32911"/>
    <w:rsid w:val="00D3355C"/>
    <w:rsid w:val="00D33821"/>
    <w:rsid w:val="00D33E43"/>
    <w:rsid w:val="00D34496"/>
    <w:rsid w:val="00D36A95"/>
    <w:rsid w:val="00D4040D"/>
    <w:rsid w:val="00D40C3D"/>
    <w:rsid w:val="00D40C40"/>
    <w:rsid w:val="00D435EC"/>
    <w:rsid w:val="00D448D8"/>
    <w:rsid w:val="00D45019"/>
    <w:rsid w:val="00D452FB"/>
    <w:rsid w:val="00D47A3D"/>
    <w:rsid w:val="00D5043A"/>
    <w:rsid w:val="00D53057"/>
    <w:rsid w:val="00D5397C"/>
    <w:rsid w:val="00D60FF0"/>
    <w:rsid w:val="00D61FC6"/>
    <w:rsid w:val="00D6256C"/>
    <w:rsid w:val="00D64982"/>
    <w:rsid w:val="00D64DBE"/>
    <w:rsid w:val="00D670D1"/>
    <w:rsid w:val="00D70CF9"/>
    <w:rsid w:val="00D70E58"/>
    <w:rsid w:val="00D73415"/>
    <w:rsid w:val="00D73A88"/>
    <w:rsid w:val="00D82615"/>
    <w:rsid w:val="00D84608"/>
    <w:rsid w:val="00D8694B"/>
    <w:rsid w:val="00D87A07"/>
    <w:rsid w:val="00D907DD"/>
    <w:rsid w:val="00D929C1"/>
    <w:rsid w:val="00D94176"/>
    <w:rsid w:val="00D956F3"/>
    <w:rsid w:val="00D979F7"/>
    <w:rsid w:val="00D97BA5"/>
    <w:rsid w:val="00D97BEC"/>
    <w:rsid w:val="00DA239E"/>
    <w:rsid w:val="00DA3E7C"/>
    <w:rsid w:val="00DA44CC"/>
    <w:rsid w:val="00DA7553"/>
    <w:rsid w:val="00DA759C"/>
    <w:rsid w:val="00DB0D51"/>
    <w:rsid w:val="00DB2216"/>
    <w:rsid w:val="00DB35B4"/>
    <w:rsid w:val="00DB42BE"/>
    <w:rsid w:val="00DB4C5E"/>
    <w:rsid w:val="00DB698C"/>
    <w:rsid w:val="00DB72E7"/>
    <w:rsid w:val="00DC262C"/>
    <w:rsid w:val="00DC270D"/>
    <w:rsid w:val="00DC2F35"/>
    <w:rsid w:val="00DC4AB6"/>
    <w:rsid w:val="00DC6BFF"/>
    <w:rsid w:val="00DD0492"/>
    <w:rsid w:val="00DD12C4"/>
    <w:rsid w:val="00DD31E9"/>
    <w:rsid w:val="00DD32B1"/>
    <w:rsid w:val="00DD3471"/>
    <w:rsid w:val="00DD3F74"/>
    <w:rsid w:val="00DD687C"/>
    <w:rsid w:val="00DD7384"/>
    <w:rsid w:val="00DD7A70"/>
    <w:rsid w:val="00DE1010"/>
    <w:rsid w:val="00DE11F5"/>
    <w:rsid w:val="00DE1AEB"/>
    <w:rsid w:val="00DE2B82"/>
    <w:rsid w:val="00DE2C33"/>
    <w:rsid w:val="00DE3B6A"/>
    <w:rsid w:val="00DE3BF2"/>
    <w:rsid w:val="00DE3FC2"/>
    <w:rsid w:val="00DE4BE5"/>
    <w:rsid w:val="00DF0F98"/>
    <w:rsid w:val="00DF11F0"/>
    <w:rsid w:val="00DF135F"/>
    <w:rsid w:val="00DF242A"/>
    <w:rsid w:val="00DF2B50"/>
    <w:rsid w:val="00DF31A4"/>
    <w:rsid w:val="00DF3A9A"/>
    <w:rsid w:val="00DF400E"/>
    <w:rsid w:val="00DF6647"/>
    <w:rsid w:val="00DF7081"/>
    <w:rsid w:val="00DF7E68"/>
    <w:rsid w:val="00E00478"/>
    <w:rsid w:val="00E007B0"/>
    <w:rsid w:val="00E03EC3"/>
    <w:rsid w:val="00E057F6"/>
    <w:rsid w:val="00E05858"/>
    <w:rsid w:val="00E06862"/>
    <w:rsid w:val="00E13139"/>
    <w:rsid w:val="00E131F6"/>
    <w:rsid w:val="00E13909"/>
    <w:rsid w:val="00E15411"/>
    <w:rsid w:val="00E17B6A"/>
    <w:rsid w:val="00E17CB1"/>
    <w:rsid w:val="00E22834"/>
    <w:rsid w:val="00E3036F"/>
    <w:rsid w:val="00E31EBE"/>
    <w:rsid w:val="00E3234F"/>
    <w:rsid w:val="00E331B7"/>
    <w:rsid w:val="00E33CA2"/>
    <w:rsid w:val="00E356DC"/>
    <w:rsid w:val="00E35D0B"/>
    <w:rsid w:val="00E42F59"/>
    <w:rsid w:val="00E43B56"/>
    <w:rsid w:val="00E443A3"/>
    <w:rsid w:val="00E46965"/>
    <w:rsid w:val="00E50302"/>
    <w:rsid w:val="00E5424C"/>
    <w:rsid w:val="00E5435A"/>
    <w:rsid w:val="00E55522"/>
    <w:rsid w:val="00E61081"/>
    <w:rsid w:val="00E62FF8"/>
    <w:rsid w:val="00E63230"/>
    <w:rsid w:val="00E63B59"/>
    <w:rsid w:val="00E64DF7"/>
    <w:rsid w:val="00E65DB8"/>
    <w:rsid w:val="00E66D22"/>
    <w:rsid w:val="00E67304"/>
    <w:rsid w:val="00E67524"/>
    <w:rsid w:val="00E70E9F"/>
    <w:rsid w:val="00E721C2"/>
    <w:rsid w:val="00E72A0A"/>
    <w:rsid w:val="00E72E43"/>
    <w:rsid w:val="00E7406A"/>
    <w:rsid w:val="00E77019"/>
    <w:rsid w:val="00E779B3"/>
    <w:rsid w:val="00E804DE"/>
    <w:rsid w:val="00E80664"/>
    <w:rsid w:val="00E82AFE"/>
    <w:rsid w:val="00E83033"/>
    <w:rsid w:val="00E84A3A"/>
    <w:rsid w:val="00E86486"/>
    <w:rsid w:val="00E87081"/>
    <w:rsid w:val="00E87EC4"/>
    <w:rsid w:val="00E92135"/>
    <w:rsid w:val="00E942D7"/>
    <w:rsid w:val="00E94BC8"/>
    <w:rsid w:val="00E95BAF"/>
    <w:rsid w:val="00E96CBA"/>
    <w:rsid w:val="00EA0448"/>
    <w:rsid w:val="00EA1420"/>
    <w:rsid w:val="00EA2353"/>
    <w:rsid w:val="00EA2B01"/>
    <w:rsid w:val="00EA5323"/>
    <w:rsid w:val="00EA5A86"/>
    <w:rsid w:val="00EA5DBB"/>
    <w:rsid w:val="00EA7620"/>
    <w:rsid w:val="00EA7C97"/>
    <w:rsid w:val="00EA7CD8"/>
    <w:rsid w:val="00EB0875"/>
    <w:rsid w:val="00EB118E"/>
    <w:rsid w:val="00EB283C"/>
    <w:rsid w:val="00EB54CD"/>
    <w:rsid w:val="00EB5B91"/>
    <w:rsid w:val="00EB63BD"/>
    <w:rsid w:val="00EB67C3"/>
    <w:rsid w:val="00EC1DE9"/>
    <w:rsid w:val="00EC25E7"/>
    <w:rsid w:val="00EC26DC"/>
    <w:rsid w:val="00EC604A"/>
    <w:rsid w:val="00EC6606"/>
    <w:rsid w:val="00EC6AB7"/>
    <w:rsid w:val="00ED09B9"/>
    <w:rsid w:val="00ED1659"/>
    <w:rsid w:val="00ED21D0"/>
    <w:rsid w:val="00ED2348"/>
    <w:rsid w:val="00ED3AC4"/>
    <w:rsid w:val="00ED513B"/>
    <w:rsid w:val="00ED5752"/>
    <w:rsid w:val="00ED59AE"/>
    <w:rsid w:val="00ED7E65"/>
    <w:rsid w:val="00EE1D26"/>
    <w:rsid w:val="00EE2521"/>
    <w:rsid w:val="00EE2D17"/>
    <w:rsid w:val="00EE4FE5"/>
    <w:rsid w:val="00EE5D43"/>
    <w:rsid w:val="00EE65A2"/>
    <w:rsid w:val="00EF1B9E"/>
    <w:rsid w:val="00EF3351"/>
    <w:rsid w:val="00EF43C0"/>
    <w:rsid w:val="00EF4F73"/>
    <w:rsid w:val="00EF53AE"/>
    <w:rsid w:val="00EF5D9C"/>
    <w:rsid w:val="00EF65C3"/>
    <w:rsid w:val="00EF6941"/>
    <w:rsid w:val="00EF74F8"/>
    <w:rsid w:val="00F0193E"/>
    <w:rsid w:val="00F0600F"/>
    <w:rsid w:val="00F068A4"/>
    <w:rsid w:val="00F07222"/>
    <w:rsid w:val="00F07A07"/>
    <w:rsid w:val="00F10487"/>
    <w:rsid w:val="00F109FF"/>
    <w:rsid w:val="00F10A2B"/>
    <w:rsid w:val="00F10B38"/>
    <w:rsid w:val="00F10CCD"/>
    <w:rsid w:val="00F13794"/>
    <w:rsid w:val="00F13E35"/>
    <w:rsid w:val="00F147CC"/>
    <w:rsid w:val="00F15007"/>
    <w:rsid w:val="00F16352"/>
    <w:rsid w:val="00F2027E"/>
    <w:rsid w:val="00F20FB3"/>
    <w:rsid w:val="00F22221"/>
    <w:rsid w:val="00F22C06"/>
    <w:rsid w:val="00F24B29"/>
    <w:rsid w:val="00F26349"/>
    <w:rsid w:val="00F306A9"/>
    <w:rsid w:val="00F30B63"/>
    <w:rsid w:val="00F32A42"/>
    <w:rsid w:val="00F34FCA"/>
    <w:rsid w:val="00F35214"/>
    <w:rsid w:val="00F40A81"/>
    <w:rsid w:val="00F42BAF"/>
    <w:rsid w:val="00F433AE"/>
    <w:rsid w:val="00F43F75"/>
    <w:rsid w:val="00F5183E"/>
    <w:rsid w:val="00F528EF"/>
    <w:rsid w:val="00F53913"/>
    <w:rsid w:val="00F54281"/>
    <w:rsid w:val="00F54DD6"/>
    <w:rsid w:val="00F573FD"/>
    <w:rsid w:val="00F5761B"/>
    <w:rsid w:val="00F57F02"/>
    <w:rsid w:val="00F62D35"/>
    <w:rsid w:val="00F631BE"/>
    <w:rsid w:val="00F652EE"/>
    <w:rsid w:val="00F6610A"/>
    <w:rsid w:val="00F669C1"/>
    <w:rsid w:val="00F669EE"/>
    <w:rsid w:val="00F671DB"/>
    <w:rsid w:val="00F67C47"/>
    <w:rsid w:val="00F70899"/>
    <w:rsid w:val="00F71597"/>
    <w:rsid w:val="00F71AD7"/>
    <w:rsid w:val="00F72140"/>
    <w:rsid w:val="00F748B0"/>
    <w:rsid w:val="00F75BA0"/>
    <w:rsid w:val="00F8018A"/>
    <w:rsid w:val="00F8020C"/>
    <w:rsid w:val="00F8155B"/>
    <w:rsid w:val="00F828A6"/>
    <w:rsid w:val="00F83826"/>
    <w:rsid w:val="00F867A2"/>
    <w:rsid w:val="00F87318"/>
    <w:rsid w:val="00F907D1"/>
    <w:rsid w:val="00F91365"/>
    <w:rsid w:val="00F921CD"/>
    <w:rsid w:val="00F93545"/>
    <w:rsid w:val="00FA2B9D"/>
    <w:rsid w:val="00FA67F7"/>
    <w:rsid w:val="00FB0C6E"/>
    <w:rsid w:val="00FB207B"/>
    <w:rsid w:val="00FB217B"/>
    <w:rsid w:val="00FB3227"/>
    <w:rsid w:val="00FB3D39"/>
    <w:rsid w:val="00FB79BD"/>
    <w:rsid w:val="00FC6B4E"/>
    <w:rsid w:val="00FC6BE1"/>
    <w:rsid w:val="00FD518E"/>
    <w:rsid w:val="00FD56A6"/>
    <w:rsid w:val="00FE1563"/>
    <w:rsid w:val="00FE2056"/>
    <w:rsid w:val="00FE2F24"/>
    <w:rsid w:val="00FE398D"/>
    <w:rsid w:val="00FE4A76"/>
    <w:rsid w:val="00FF0836"/>
    <w:rsid w:val="00FF13B8"/>
    <w:rsid w:val="00FF397A"/>
    <w:rsid w:val="00FF4E8E"/>
    <w:rsid w:val="00FF7ED7"/>
    <w:rsid w:val="00FF7F91"/>
    <w:rsid w:val="1104081B"/>
    <w:rsid w:val="1DC35127"/>
    <w:rsid w:val="5709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66303"/>
  <w15:docId w15:val="{F1764052-EE32-7F46-A014-9F71B078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line="276" w:lineRule="auto"/>
      <w:outlineLvl w:val="2"/>
    </w:pPr>
    <w:rPr>
      <w:rFonts w:asciiTheme="majorHAnsi" w:eastAsiaTheme="majorEastAsia" w:hAnsiTheme="majorHAnsi" w:cstheme="majorBidi"/>
      <w:color w:val="1F4E79" w:themeColor="accent1" w:themeShade="80"/>
    </w:rPr>
  </w:style>
  <w:style w:type="paragraph" w:styleId="Heading5">
    <w:name w:val="heading 5"/>
    <w:basedOn w:val="Normal"/>
    <w:next w:val="Normal"/>
    <w:link w:val="Heading5Char"/>
    <w:unhideWhenUsed/>
    <w:qFormat/>
    <w:pPr>
      <w:spacing w:before="240" w:after="60"/>
      <w:outlineLvl w:val="4"/>
    </w:pPr>
    <w:rPr>
      <w:rFonts w:ascii="Calibri" w:hAnsi="Calibri"/>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BodyText">
    <w:name w:val="Body Text"/>
    <w:basedOn w:val="Normal"/>
    <w:link w:val="BodyTextChar"/>
    <w:uiPriority w:val="99"/>
    <w:unhideWhenUsed/>
    <w:qFormat/>
    <w:pPr>
      <w:widowControl w:val="0"/>
      <w:spacing w:after="120" w:line="276" w:lineRule="auto"/>
    </w:pPr>
    <w:rPr>
      <w:rFonts w:ascii="Calibri" w:eastAsia="Calibri" w:hAnsi="Calibri" w:cs="Arial"/>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DocumentMap">
    <w:name w:val="Document Map"/>
    <w:basedOn w:val="Normal"/>
    <w:link w:val="DocumentMapChar"/>
    <w:semiHidden/>
    <w:unhideWhenUsed/>
    <w:qFormat/>
  </w:style>
  <w:style w:type="paragraph" w:styleId="EndnoteText">
    <w:name w:val="endnote text"/>
    <w:basedOn w:val="Normal"/>
    <w:link w:val="EndnoteTextChar"/>
    <w:qFormat/>
    <w:rPr>
      <w:sz w:val="20"/>
      <w:szCs w:val="20"/>
      <w:lang w:eastAsia="sl-SI"/>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10"/>
    <w:qFormat/>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paragraph" w:styleId="TOC1">
    <w:name w:val="toc 1"/>
    <w:basedOn w:val="Normal"/>
    <w:next w:val="Normal"/>
    <w:uiPriority w:val="39"/>
    <w:unhideWhenUsed/>
    <w:pPr>
      <w:spacing w:before="120"/>
    </w:pPr>
    <w:rPr>
      <w:rFonts w:asciiTheme="minorHAnsi" w:hAnsiTheme="minorHAnsi"/>
      <w:b/>
      <w:bCs/>
      <w:i/>
      <w:iCs/>
    </w:rPr>
  </w:style>
  <w:style w:type="paragraph" w:styleId="TOC2">
    <w:name w:val="toc 2"/>
    <w:basedOn w:val="Normal"/>
    <w:next w:val="Normal"/>
    <w:uiPriority w:val="39"/>
    <w:unhideWhenUsed/>
    <w:qFormat/>
    <w:pPr>
      <w:spacing w:before="120"/>
      <w:ind w:left="240"/>
    </w:pPr>
    <w:rPr>
      <w:rFonts w:asciiTheme="minorHAnsi" w:hAnsiTheme="minorHAnsi"/>
      <w:b/>
      <w:bCs/>
      <w:sz w:val="22"/>
      <w:szCs w:val="22"/>
    </w:rPr>
  </w:style>
  <w:style w:type="paragraph" w:styleId="TOC3">
    <w:name w:val="toc 3"/>
    <w:basedOn w:val="Normal"/>
    <w:next w:val="Normal"/>
    <w:uiPriority w:val="39"/>
    <w:unhideWhenUsed/>
    <w:qFormat/>
    <w:pPr>
      <w:ind w:left="480"/>
    </w:pPr>
    <w:rPr>
      <w:rFonts w:asciiTheme="minorHAnsi" w:hAnsiTheme="minorHAnsi"/>
      <w:sz w:val="20"/>
      <w:szCs w:val="20"/>
    </w:rPr>
  </w:style>
  <w:style w:type="paragraph" w:styleId="TOC4">
    <w:name w:val="toc 4"/>
    <w:basedOn w:val="Normal"/>
    <w:next w:val="Normal"/>
    <w:uiPriority w:val="39"/>
    <w:semiHidden/>
    <w:unhideWhenUsed/>
    <w:qFormat/>
    <w:pPr>
      <w:ind w:left="720"/>
    </w:pPr>
    <w:rPr>
      <w:rFonts w:asciiTheme="minorHAnsi" w:hAnsiTheme="minorHAnsi"/>
      <w:sz w:val="20"/>
      <w:szCs w:val="20"/>
    </w:rPr>
  </w:style>
  <w:style w:type="paragraph" w:styleId="TOC5">
    <w:name w:val="toc 5"/>
    <w:basedOn w:val="Normal"/>
    <w:next w:val="Normal"/>
    <w:uiPriority w:val="39"/>
    <w:semiHidden/>
    <w:unhideWhenUsed/>
    <w:pPr>
      <w:ind w:left="960"/>
    </w:pPr>
    <w:rPr>
      <w:rFonts w:asciiTheme="minorHAnsi" w:hAnsiTheme="minorHAnsi"/>
      <w:sz w:val="20"/>
      <w:szCs w:val="20"/>
    </w:rPr>
  </w:style>
  <w:style w:type="paragraph" w:styleId="TOC6">
    <w:name w:val="toc 6"/>
    <w:basedOn w:val="Normal"/>
    <w:next w:val="Normal"/>
    <w:uiPriority w:val="39"/>
    <w:semiHidden/>
    <w:unhideWhenUsed/>
    <w:pPr>
      <w:ind w:left="1200"/>
    </w:pPr>
    <w:rPr>
      <w:rFonts w:asciiTheme="minorHAnsi" w:hAnsiTheme="minorHAnsi"/>
      <w:sz w:val="20"/>
      <w:szCs w:val="20"/>
    </w:rPr>
  </w:style>
  <w:style w:type="paragraph" w:styleId="TOC7">
    <w:name w:val="toc 7"/>
    <w:basedOn w:val="Normal"/>
    <w:next w:val="Normal"/>
    <w:uiPriority w:val="39"/>
    <w:semiHidden/>
    <w:unhideWhenUsed/>
    <w:qFormat/>
    <w:pPr>
      <w:ind w:left="1440"/>
    </w:pPr>
    <w:rPr>
      <w:rFonts w:asciiTheme="minorHAnsi" w:hAnsiTheme="minorHAnsi"/>
      <w:sz w:val="20"/>
      <w:szCs w:val="20"/>
    </w:rPr>
  </w:style>
  <w:style w:type="paragraph" w:styleId="TOC8">
    <w:name w:val="toc 8"/>
    <w:basedOn w:val="Normal"/>
    <w:next w:val="Normal"/>
    <w:uiPriority w:val="39"/>
    <w:semiHidden/>
    <w:unhideWhenUsed/>
    <w:pPr>
      <w:ind w:left="1680"/>
    </w:pPr>
    <w:rPr>
      <w:rFonts w:asciiTheme="minorHAnsi" w:hAnsiTheme="minorHAnsi"/>
      <w:sz w:val="20"/>
      <w:szCs w:val="20"/>
    </w:rPr>
  </w:style>
  <w:style w:type="paragraph" w:styleId="TOC9">
    <w:name w:val="toc 9"/>
    <w:basedOn w:val="Normal"/>
    <w:next w:val="Normal"/>
    <w:uiPriority w:val="39"/>
    <w:semiHidden/>
    <w:unhideWhenUsed/>
    <w:pPr>
      <w:ind w:left="1920"/>
    </w:pPr>
    <w:rPr>
      <w:rFonts w:asciiTheme="minorHAnsi" w:hAnsiTheme="minorHAnsi"/>
      <w:sz w:val="20"/>
      <w:szCs w:val="20"/>
    </w:rPr>
  </w:style>
  <w:style w:type="character" w:styleId="CommentReference">
    <w:name w:val="annotation reference"/>
    <w:basedOn w:val="DefaultParagraphFont"/>
    <w:uiPriority w:val="99"/>
    <w:unhideWhenUsed/>
    <w:qFormat/>
    <w:rPr>
      <w:sz w:val="18"/>
      <w:szCs w:val="18"/>
    </w:rPr>
  </w:style>
  <w:style w:type="character" w:styleId="Emphasis">
    <w:name w:val="Emphasis"/>
    <w:uiPriority w:val="20"/>
    <w:qFormat/>
    <w:rPr>
      <w:i/>
      <w:iCs/>
    </w:r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FootnoteReference">
    <w:name w:val="footnote reference"/>
    <w:basedOn w:val="DefaultParagraphFont"/>
    <w:uiPriority w:val="99"/>
    <w:unhideWhenUsed/>
    <w:qFormat/>
    <w:rPr>
      <w:vertAlign w:val="superscript"/>
    </w:rPr>
  </w:style>
  <w:style w:type="character" w:styleId="HTMLCite">
    <w:name w:val="HTML Cite"/>
    <w:uiPriority w:val="99"/>
    <w:unhideWhenUsed/>
    <w:qFormat/>
    <w:rPr>
      <w:i/>
      <w:iCs/>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nhideWhenUsed/>
    <w:qFormat/>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CommentTextChar">
    <w:name w:val="Comment Text Char"/>
    <w:basedOn w:val="DefaultParagraphFont"/>
    <w:link w:val="CommentText"/>
    <w:uiPriority w:val="99"/>
    <w:qFormat/>
    <w:rPr>
      <w:sz w:val="24"/>
      <w:szCs w:val="24"/>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FootnoteTextChar">
    <w:name w:val="Footnote Text Char"/>
    <w:basedOn w:val="DefaultParagraphFont"/>
    <w:link w:val="FootnoteText"/>
    <w:uiPriority w:val="99"/>
    <w:qFormat/>
    <w:rPr>
      <w:sz w:val="20"/>
      <w:szCs w:val="20"/>
    </w:rPr>
  </w:style>
  <w:style w:type="character" w:customStyle="1" w:styleId="matrix-row-label3">
    <w:name w:val="matrix-row-label3"/>
    <w:basedOn w:val="DefaultParagraphFont"/>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val="hr-HR"/>
    </w:rPr>
  </w:style>
  <w:style w:type="paragraph" w:customStyle="1" w:styleId="Revision1">
    <w:name w:val="Revision1"/>
    <w:hidden/>
    <w:uiPriority w:val="99"/>
    <w:semiHidden/>
    <w:qFormat/>
    <w:pPr>
      <w:spacing w:after="0" w:line="240" w:lineRule="auto"/>
    </w:pPr>
    <w:rPr>
      <w:sz w:val="22"/>
      <w:szCs w:val="22"/>
    </w:rPr>
  </w:style>
  <w:style w:type="character" w:customStyle="1" w:styleId="Heading5Char">
    <w:name w:val="Heading 5 Char"/>
    <w:basedOn w:val="DefaultParagraphFont"/>
    <w:link w:val="Heading5"/>
    <w:qFormat/>
    <w:rPr>
      <w:rFonts w:ascii="Calibri" w:eastAsia="Times New Roman" w:hAnsi="Calibri" w:cs="Times New Roman"/>
      <w:b/>
      <w:bCs/>
      <w:i/>
      <w:iCs/>
      <w:sz w:val="26"/>
      <w:szCs w:val="26"/>
      <w:lang w:eastAsia="sl-SI"/>
    </w:rPr>
  </w:style>
  <w:style w:type="character" w:customStyle="1" w:styleId="schriftnorm">
    <w:name w:val="schriftnorm"/>
    <w:basedOn w:val="DefaultParagraphFont"/>
    <w:qFormat/>
  </w:style>
  <w:style w:type="paragraph" w:customStyle="1" w:styleId="bodytext0">
    <w:name w:val="bodytext"/>
    <w:basedOn w:val="Normal"/>
    <w:qFormat/>
    <w:pPr>
      <w:spacing w:before="100" w:beforeAutospacing="1" w:after="100" w:afterAutospacing="1"/>
    </w:pPr>
    <w:rPr>
      <w:lang w:eastAsia="sl-SI"/>
    </w:rPr>
  </w:style>
  <w:style w:type="paragraph" w:customStyle="1" w:styleId="ecxmsonormal">
    <w:name w:val="ecxmsonormal"/>
    <w:basedOn w:val="Normal"/>
    <w:qFormat/>
    <w:pPr>
      <w:spacing w:after="324"/>
    </w:pPr>
    <w:rPr>
      <w:lang w:val="en-GB" w:eastAsia="en-GB"/>
    </w:rPr>
  </w:style>
  <w:style w:type="character" w:customStyle="1" w:styleId="apple-converted-space">
    <w:name w:val="apple-converted-space"/>
    <w:qFormat/>
  </w:style>
  <w:style w:type="character" w:customStyle="1" w:styleId="st">
    <w:name w:val="st"/>
    <w:qFormat/>
  </w:style>
  <w:style w:type="character" w:customStyle="1" w:styleId="linkcolor">
    <w:name w:val="linkcolor"/>
    <w:qFormat/>
  </w:style>
  <w:style w:type="character" w:customStyle="1" w:styleId="bookabs">
    <w:name w:val="bookabs"/>
    <w:qFormat/>
  </w:style>
  <w:style w:type="character" w:customStyle="1" w:styleId="moreabs">
    <w:name w:val="moreabs"/>
    <w:qFormat/>
  </w:style>
  <w:style w:type="character" w:customStyle="1" w:styleId="hlfld-title">
    <w:name w:val="hlfld-title"/>
    <w:qFormat/>
  </w:style>
  <w:style w:type="character" w:customStyle="1" w:styleId="singlehighlightclass">
    <w:name w:val="single_highlight_class"/>
    <w:qFormat/>
  </w:style>
  <w:style w:type="character" w:customStyle="1" w:styleId="articleentryauthorlabel">
    <w:name w:val="articleentryauthorlabel"/>
    <w:qFormat/>
  </w:style>
  <w:style w:type="character" w:customStyle="1" w:styleId="articleentryauthorslinks">
    <w:name w:val="articleentryauthorslinks"/>
    <w:qFormat/>
  </w:style>
  <w:style w:type="character" w:customStyle="1" w:styleId="hlfld-contrib">
    <w:name w:val="hlfld-contrib"/>
    <w:qFormat/>
  </w:style>
  <w:style w:type="character" w:customStyle="1" w:styleId="boldfont">
    <w:name w:val="boldfont"/>
    <w:qFormat/>
  </w:style>
  <w:style w:type="character" w:customStyle="1" w:styleId="articleentrypagerangelabel">
    <w:name w:val="articleentrypagerangelabel"/>
    <w:qFormat/>
  </w:style>
  <w:style w:type="character" w:customStyle="1" w:styleId="EndnoteTextChar">
    <w:name w:val="Endnote Text Char"/>
    <w:basedOn w:val="DefaultParagraphFont"/>
    <w:link w:val="EndnoteText"/>
    <w:qFormat/>
    <w:rPr>
      <w:rFonts w:ascii="Times New Roman" w:eastAsia="Times New Roman" w:hAnsi="Times New Roman" w:cs="Times New Roman"/>
      <w:sz w:val="20"/>
      <w:szCs w:val="20"/>
      <w:lang w:eastAsia="sl-SI"/>
    </w:rPr>
  </w:style>
  <w:style w:type="character" w:customStyle="1" w:styleId="tgc">
    <w:name w:val="_tgc"/>
    <w:qFormat/>
  </w:style>
  <w:style w:type="character" w:customStyle="1" w:styleId="TitleChar">
    <w:name w:val="Title Char"/>
    <w:basedOn w:val="DefaultParagraphFont"/>
    <w:link w:val="Title"/>
    <w:uiPriority w:val="10"/>
    <w:qFormat/>
    <w:rPr>
      <w:rFonts w:ascii="Arial" w:eastAsia="Times New Roman" w:hAnsi="Arial" w:cs="Arial"/>
      <w:b/>
      <w:bCs/>
      <w:kern w:val="28"/>
      <w:sz w:val="32"/>
      <w:szCs w:val="32"/>
      <w:lang w:val="en-GB" w:eastAsia="zh-CN"/>
    </w:rPr>
  </w:style>
  <w:style w:type="character" w:customStyle="1" w:styleId="BodyTextChar">
    <w:name w:val="Body Text Char"/>
    <w:basedOn w:val="DefaultParagraphFont"/>
    <w:link w:val="BodyText"/>
    <w:uiPriority w:val="99"/>
    <w:qFormat/>
    <w:rPr>
      <w:rFonts w:ascii="Calibri" w:eastAsia="Calibri" w:hAnsi="Calibri" w:cs="Arial"/>
    </w:rPr>
  </w:style>
  <w:style w:type="character" w:styleId="PlaceholderText">
    <w:name w:val="Placeholder Text"/>
    <w:uiPriority w:val="99"/>
    <w:semiHidden/>
    <w:qFormat/>
    <w:rPr>
      <w:color w:val="808080"/>
    </w:rPr>
  </w:style>
  <w:style w:type="paragraph" w:customStyle="1" w:styleId="Table">
    <w:name w:val="Table"/>
    <w:basedOn w:val="Normal"/>
    <w:next w:val="BodyText"/>
    <w:qFormat/>
    <w:pPr>
      <w:tabs>
        <w:tab w:val="left" w:pos="850"/>
        <w:tab w:val="left" w:pos="1191"/>
        <w:tab w:val="left" w:pos="1531"/>
      </w:tabs>
      <w:spacing w:after="240"/>
      <w:jc w:val="center"/>
    </w:pPr>
    <w:rPr>
      <w:lang w:val="en-GB" w:eastAsia="zh-CN"/>
    </w:rPr>
  </w:style>
  <w:style w:type="paragraph" w:customStyle="1" w:styleId="TableTitle">
    <w:name w:val="Table Title"/>
    <w:basedOn w:val="Normal"/>
    <w:qFormat/>
    <w:pPr>
      <w:keepNext/>
      <w:tabs>
        <w:tab w:val="left" w:pos="850"/>
        <w:tab w:val="left" w:pos="1191"/>
        <w:tab w:val="left" w:pos="1531"/>
      </w:tabs>
      <w:spacing w:after="240"/>
      <w:jc w:val="center"/>
    </w:pPr>
    <w:rPr>
      <w:rFonts w:ascii="Arial" w:hAnsi="Arial" w:cs="Arial"/>
      <w:b/>
      <w:bCs/>
      <w:sz w:val="18"/>
      <w:lang w:val="en-GB" w:eastAsia="zh-CN"/>
    </w:rPr>
  </w:style>
  <w:style w:type="paragraph" w:customStyle="1" w:styleId="TableSub-title">
    <w:name w:val="Table Sub-title"/>
    <w:basedOn w:val="Normal"/>
    <w:qFormat/>
    <w:pPr>
      <w:keepNext/>
      <w:tabs>
        <w:tab w:val="left" w:pos="850"/>
        <w:tab w:val="left" w:pos="1191"/>
        <w:tab w:val="left" w:pos="1531"/>
      </w:tabs>
      <w:spacing w:after="240"/>
      <w:jc w:val="center"/>
    </w:pPr>
    <w:rPr>
      <w:rFonts w:ascii="Arial" w:hAnsi="Arial" w:cs="Arial"/>
      <w:sz w:val="18"/>
      <w:lang w:val="en-GB" w:eastAsia="zh-CN"/>
    </w:rPr>
  </w:style>
  <w:style w:type="paragraph" w:customStyle="1" w:styleId="TableNote">
    <w:name w:val="Table Note"/>
    <w:basedOn w:val="Normal"/>
    <w:qFormat/>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
    <w:qFormat/>
    <w:pPr>
      <w:tabs>
        <w:tab w:val="left" w:pos="850"/>
        <w:tab w:val="left" w:pos="1191"/>
        <w:tab w:val="left" w:pos="1531"/>
      </w:tabs>
      <w:spacing w:after="360"/>
      <w:jc w:val="both"/>
    </w:pPr>
    <w:rPr>
      <w:rFonts w:ascii="Arial" w:hAnsi="Arial" w:cs="Arial"/>
      <w:sz w:val="16"/>
      <w:szCs w:val="18"/>
      <w:lang w:val="en-GB" w:eastAsia="zh-CN"/>
    </w:rPr>
  </w:style>
  <w:style w:type="character" w:customStyle="1" w:styleId="ListParagraphChar">
    <w:name w:val="List Paragraph Char"/>
    <w:link w:val="ListParagraph"/>
    <w:uiPriority w:val="34"/>
    <w:qFormat/>
  </w:style>
  <w:style w:type="paragraph" w:styleId="NoSpacing">
    <w:name w:val="No Spacing"/>
    <w:uiPriority w:val="1"/>
    <w:qFormat/>
    <w:pPr>
      <w:spacing w:after="0" w:line="240" w:lineRule="auto"/>
    </w:pPr>
    <w:rPr>
      <w:sz w:val="22"/>
      <w:szCs w:val="22"/>
    </w:rPr>
  </w:style>
  <w:style w:type="paragraph" w:customStyle="1" w:styleId="p1">
    <w:name w:val="p1"/>
    <w:basedOn w:val="Normal"/>
    <w:qFormat/>
    <w:rPr>
      <w:rFonts w:ascii="Courier New" w:hAnsi="Courier New" w:cs="Courier New"/>
      <w:color w:val="000080"/>
      <w:sz w:val="20"/>
      <w:szCs w:val="20"/>
    </w:rPr>
  </w:style>
  <w:style w:type="paragraph" w:customStyle="1" w:styleId="p2">
    <w:name w:val="p2"/>
    <w:basedOn w:val="Normal"/>
    <w:qFormat/>
    <w:rPr>
      <w:rFonts w:ascii="Courier New" w:hAnsi="Courier New" w:cs="Courier New"/>
      <w:color w:val="1F497D"/>
      <w:sz w:val="16"/>
      <w:szCs w:val="16"/>
    </w:rPr>
  </w:style>
  <w:style w:type="character" w:customStyle="1" w:styleId="s1">
    <w:name w:val="s1"/>
    <w:basedOn w:val="DefaultParagraphFont"/>
  </w:style>
  <w:style w:type="paragraph" w:customStyle="1" w:styleId="xmsonormal">
    <w:name w:val="x_msonormal"/>
    <w:basedOn w:val="Normal"/>
    <w:pPr>
      <w:spacing w:before="100" w:beforeAutospacing="1" w:after="100" w:afterAutospacing="1"/>
    </w:pPr>
  </w:style>
  <w:style w:type="paragraph" w:customStyle="1" w:styleId="xaddress">
    <w:name w:val="x_address"/>
    <w:basedOn w:val="Normal"/>
    <w:pPr>
      <w:spacing w:before="100" w:beforeAutospacing="1" w:after="100" w:afterAutospacing="1"/>
    </w:pPr>
  </w:style>
  <w:style w:type="character" w:customStyle="1" w:styleId="DocumentMapChar">
    <w:name w:val="Document Map Char"/>
    <w:basedOn w:val="DefaultParagraphFont"/>
    <w:link w:val="DocumentMap"/>
    <w:semiHidden/>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pPr>
      <w:spacing w:before="480"/>
      <w:outlineLvl w:val="9"/>
    </w:pPr>
    <w:rPr>
      <w:b/>
      <w:bCs/>
      <w:sz w:val="28"/>
      <w:szCs w:val="28"/>
    </w:rPr>
  </w:style>
  <w:style w:type="character" w:customStyle="1" w:styleId="il">
    <w:name w:val="il"/>
    <w:basedOn w:val="DefaultParagraphFont"/>
  </w:style>
  <w:style w:type="character" w:customStyle="1" w:styleId="normaltextrun">
    <w:name w:val="normaltextrun"/>
    <w:basedOn w:val="DefaultParagraphFont"/>
  </w:style>
  <w:style w:type="character" w:customStyle="1" w:styleId="spellingerror">
    <w:name w:val="spellingerror"/>
    <w:basedOn w:val="DefaultParagraphFont"/>
  </w:style>
  <w:style w:type="character" w:customStyle="1" w:styleId="eop">
    <w:name w:val="eop"/>
    <w:basedOn w:val="DefaultParagraphFont"/>
  </w:style>
  <w:style w:type="character" w:customStyle="1" w:styleId="LightGrid-Accent3Char">
    <w:name w:val="Light Grid - Accent 3 Char"/>
    <w:aliases w:val="List_Paragraph Char,Multilevel para_II Char,List Paragraph1 Char"/>
    <w:link w:val="LightGrid-Accent3"/>
    <w:uiPriority w:val="34"/>
    <w:rsid w:val="004469CB"/>
    <w:rPr>
      <w:sz w:val="22"/>
      <w:szCs w:val="22"/>
    </w:rPr>
  </w:style>
  <w:style w:type="table" w:styleId="LightGrid-Accent3">
    <w:name w:val="Light Grid Accent 3"/>
    <w:basedOn w:val="TableNormal"/>
    <w:link w:val="LightGrid-Accent3Char"/>
    <w:uiPriority w:val="34"/>
    <w:rsid w:val="004469CB"/>
    <w:pPr>
      <w:spacing w:after="0" w:line="240" w:lineRule="auto"/>
    </w:pPr>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italic">
    <w:name w:val="italic"/>
    <w:basedOn w:val="DefaultParagraphFont"/>
    <w:rsid w:val="00433475"/>
  </w:style>
  <w:style w:type="paragraph" w:customStyle="1" w:styleId="level1">
    <w:name w:val="level 1"/>
    <w:basedOn w:val="Normal"/>
    <w:rsid w:val="008D3C37"/>
    <w:pPr>
      <w:jc w:val="center"/>
      <w:outlineLvl w:val="0"/>
    </w:pPr>
    <w:rPr>
      <w:b/>
      <w:color w:val="000000" w:themeColor="text1"/>
    </w:rPr>
  </w:style>
  <w:style w:type="paragraph" w:customStyle="1" w:styleId="level2">
    <w:name w:val="level 2"/>
    <w:basedOn w:val="level1"/>
    <w:rsid w:val="008D3C37"/>
  </w:style>
  <w:style w:type="character" w:styleId="UnresolvedMention">
    <w:name w:val="Unresolved Mention"/>
    <w:basedOn w:val="DefaultParagraphFont"/>
    <w:uiPriority w:val="99"/>
    <w:semiHidden/>
    <w:unhideWhenUsed/>
    <w:rsid w:val="00EF53AE"/>
    <w:rPr>
      <w:color w:val="605E5C"/>
      <w:shd w:val="clear" w:color="auto" w:fill="E1DFDD"/>
    </w:rPr>
  </w:style>
  <w:style w:type="paragraph" w:styleId="TOCHeading">
    <w:name w:val="TOC Heading"/>
    <w:basedOn w:val="Heading1"/>
    <w:next w:val="Normal"/>
    <w:uiPriority w:val="39"/>
    <w:unhideWhenUsed/>
    <w:qFormat/>
    <w:rsid w:val="005F726F"/>
    <w:pPr>
      <w:spacing w:before="480"/>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559">
      <w:bodyDiv w:val="1"/>
      <w:marLeft w:val="0"/>
      <w:marRight w:val="0"/>
      <w:marTop w:val="0"/>
      <w:marBottom w:val="0"/>
      <w:divBdr>
        <w:top w:val="none" w:sz="0" w:space="0" w:color="auto"/>
        <w:left w:val="none" w:sz="0" w:space="0" w:color="auto"/>
        <w:bottom w:val="none" w:sz="0" w:space="0" w:color="auto"/>
        <w:right w:val="none" w:sz="0" w:space="0" w:color="auto"/>
      </w:divBdr>
    </w:div>
    <w:div w:id="132799601">
      <w:bodyDiv w:val="1"/>
      <w:marLeft w:val="0"/>
      <w:marRight w:val="0"/>
      <w:marTop w:val="0"/>
      <w:marBottom w:val="0"/>
      <w:divBdr>
        <w:top w:val="none" w:sz="0" w:space="0" w:color="auto"/>
        <w:left w:val="none" w:sz="0" w:space="0" w:color="auto"/>
        <w:bottom w:val="none" w:sz="0" w:space="0" w:color="auto"/>
        <w:right w:val="none" w:sz="0" w:space="0" w:color="auto"/>
      </w:divBdr>
    </w:div>
    <w:div w:id="150677872">
      <w:bodyDiv w:val="1"/>
      <w:marLeft w:val="0"/>
      <w:marRight w:val="0"/>
      <w:marTop w:val="0"/>
      <w:marBottom w:val="0"/>
      <w:divBdr>
        <w:top w:val="none" w:sz="0" w:space="0" w:color="auto"/>
        <w:left w:val="none" w:sz="0" w:space="0" w:color="auto"/>
        <w:bottom w:val="none" w:sz="0" w:space="0" w:color="auto"/>
        <w:right w:val="none" w:sz="0" w:space="0" w:color="auto"/>
      </w:divBdr>
    </w:div>
    <w:div w:id="192305975">
      <w:bodyDiv w:val="1"/>
      <w:marLeft w:val="0"/>
      <w:marRight w:val="0"/>
      <w:marTop w:val="0"/>
      <w:marBottom w:val="0"/>
      <w:divBdr>
        <w:top w:val="none" w:sz="0" w:space="0" w:color="auto"/>
        <w:left w:val="none" w:sz="0" w:space="0" w:color="auto"/>
        <w:bottom w:val="none" w:sz="0" w:space="0" w:color="auto"/>
        <w:right w:val="none" w:sz="0" w:space="0" w:color="auto"/>
      </w:divBdr>
    </w:div>
    <w:div w:id="261114230">
      <w:bodyDiv w:val="1"/>
      <w:marLeft w:val="0"/>
      <w:marRight w:val="0"/>
      <w:marTop w:val="0"/>
      <w:marBottom w:val="0"/>
      <w:divBdr>
        <w:top w:val="none" w:sz="0" w:space="0" w:color="auto"/>
        <w:left w:val="none" w:sz="0" w:space="0" w:color="auto"/>
        <w:bottom w:val="none" w:sz="0" w:space="0" w:color="auto"/>
        <w:right w:val="none" w:sz="0" w:space="0" w:color="auto"/>
      </w:divBdr>
    </w:div>
    <w:div w:id="291639207">
      <w:bodyDiv w:val="1"/>
      <w:marLeft w:val="0"/>
      <w:marRight w:val="0"/>
      <w:marTop w:val="0"/>
      <w:marBottom w:val="0"/>
      <w:divBdr>
        <w:top w:val="none" w:sz="0" w:space="0" w:color="auto"/>
        <w:left w:val="none" w:sz="0" w:space="0" w:color="auto"/>
        <w:bottom w:val="none" w:sz="0" w:space="0" w:color="auto"/>
        <w:right w:val="none" w:sz="0" w:space="0" w:color="auto"/>
      </w:divBdr>
    </w:div>
    <w:div w:id="293562021">
      <w:bodyDiv w:val="1"/>
      <w:marLeft w:val="0"/>
      <w:marRight w:val="0"/>
      <w:marTop w:val="0"/>
      <w:marBottom w:val="0"/>
      <w:divBdr>
        <w:top w:val="none" w:sz="0" w:space="0" w:color="auto"/>
        <w:left w:val="none" w:sz="0" w:space="0" w:color="auto"/>
        <w:bottom w:val="none" w:sz="0" w:space="0" w:color="auto"/>
        <w:right w:val="none" w:sz="0" w:space="0" w:color="auto"/>
      </w:divBdr>
    </w:div>
    <w:div w:id="362748912">
      <w:bodyDiv w:val="1"/>
      <w:marLeft w:val="0"/>
      <w:marRight w:val="0"/>
      <w:marTop w:val="0"/>
      <w:marBottom w:val="0"/>
      <w:divBdr>
        <w:top w:val="none" w:sz="0" w:space="0" w:color="auto"/>
        <w:left w:val="none" w:sz="0" w:space="0" w:color="auto"/>
        <w:bottom w:val="none" w:sz="0" w:space="0" w:color="auto"/>
        <w:right w:val="none" w:sz="0" w:space="0" w:color="auto"/>
      </w:divBdr>
    </w:div>
    <w:div w:id="388723085">
      <w:bodyDiv w:val="1"/>
      <w:marLeft w:val="0"/>
      <w:marRight w:val="0"/>
      <w:marTop w:val="0"/>
      <w:marBottom w:val="0"/>
      <w:divBdr>
        <w:top w:val="none" w:sz="0" w:space="0" w:color="auto"/>
        <w:left w:val="none" w:sz="0" w:space="0" w:color="auto"/>
        <w:bottom w:val="none" w:sz="0" w:space="0" w:color="auto"/>
        <w:right w:val="none" w:sz="0" w:space="0" w:color="auto"/>
      </w:divBdr>
    </w:div>
    <w:div w:id="398671917">
      <w:bodyDiv w:val="1"/>
      <w:marLeft w:val="0"/>
      <w:marRight w:val="0"/>
      <w:marTop w:val="0"/>
      <w:marBottom w:val="0"/>
      <w:divBdr>
        <w:top w:val="none" w:sz="0" w:space="0" w:color="auto"/>
        <w:left w:val="none" w:sz="0" w:space="0" w:color="auto"/>
        <w:bottom w:val="none" w:sz="0" w:space="0" w:color="auto"/>
        <w:right w:val="none" w:sz="0" w:space="0" w:color="auto"/>
      </w:divBdr>
    </w:div>
    <w:div w:id="476144183">
      <w:bodyDiv w:val="1"/>
      <w:marLeft w:val="0"/>
      <w:marRight w:val="0"/>
      <w:marTop w:val="0"/>
      <w:marBottom w:val="0"/>
      <w:divBdr>
        <w:top w:val="none" w:sz="0" w:space="0" w:color="auto"/>
        <w:left w:val="none" w:sz="0" w:space="0" w:color="auto"/>
        <w:bottom w:val="none" w:sz="0" w:space="0" w:color="auto"/>
        <w:right w:val="none" w:sz="0" w:space="0" w:color="auto"/>
      </w:divBdr>
    </w:div>
    <w:div w:id="560823165">
      <w:bodyDiv w:val="1"/>
      <w:marLeft w:val="0"/>
      <w:marRight w:val="0"/>
      <w:marTop w:val="0"/>
      <w:marBottom w:val="0"/>
      <w:divBdr>
        <w:top w:val="none" w:sz="0" w:space="0" w:color="auto"/>
        <w:left w:val="none" w:sz="0" w:space="0" w:color="auto"/>
        <w:bottom w:val="none" w:sz="0" w:space="0" w:color="auto"/>
        <w:right w:val="none" w:sz="0" w:space="0" w:color="auto"/>
      </w:divBdr>
    </w:div>
    <w:div w:id="568153622">
      <w:bodyDiv w:val="1"/>
      <w:marLeft w:val="0"/>
      <w:marRight w:val="0"/>
      <w:marTop w:val="0"/>
      <w:marBottom w:val="0"/>
      <w:divBdr>
        <w:top w:val="none" w:sz="0" w:space="0" w:color="auto"/>
        <w:left w:val="none" w:sz="0" w:space="0" w:color="auto"/>
        <w:bottom w:val="none" w:sz="0" w:space="0" w:color="auto"/>
        <w:right w:val="none" w:sz="0" w:space="0" w:color="auto"/>
      </w:divBdr>
      <w:divsChild>
        <w:div w:id="1161117531">
          <w:marLeft w:val="907"/>
          <w:marRight w:val="0"/>
          <w:marTop w:val="0"/>
          <w:marBottom w:val="0"/>
          <w:divBdr>
            <w:top w:val="none" w:sz="0" w:space="0" w:color="auto"/>
            <w:left w:val="none" w:sz="0" w:space="0" w:color="auto"/>
            <w:bottom w:val="none" w:sz="0" w:space="0" w:color="auto"/>
            <w:right w:val="none" w:sz="0" w:space="0" w:color="auto"/>
          </w:divBdr>
        </w:div>
      </w:divsChild>
    </w:div>
    <w:div w:id="611672607">
      <w:bodyDiv w:val="1"/>
      <w:marLeft w:val="0"/>
      <w:marRight w:val="0"/>
      <w:marTop w:val="0"/>
      <w:marBottom w:val="0"/>
      <w:divBdr>
        <w:top w:val="none" w:sz="0" w:space="0" w:color="auto"/>
        <w:left w:val="none" w:sz="0" w:space="0" w:color="auto"/>
        <w:bottom w:val="none" w:sz="0" w:space="0" w:color="auto"/>
        <w:right w:val="none" w:sz="0" w:space="0" w:color="auto"/>
      </w:divBdr>
      <w:divsChild>
        <w:div w:id="2016108818">
          <w:marLeft w:val="907"/>
          <w:marRight w:val="0"/>
          <w:marTop w:val="0"/>
          <w:marBottom w:val="0"/>
          <w:divBdr>
            <w:top w:val="none" w:sz="0" w:space="0" w:color="auto"/>
            <w:left w:val="none" w:sz="0" w:space="0" w:color="auto"/>
            <w:bottom w:val="none" w:sz="0" w:space="0" w:color="auto"/>
            <w:right w:val="none" w:sz="0" w:space="0" w:color="auto"/>
          </w:divBdr>
        </w:div>
      </w:divsChild>
    </w:div>
    <w:div w:id="622730952">
      <w:bodyDiv w:val="1"/>
      <w:marLeft w:val="0"/>
      <w:marRight w:val="0"/>
      <w:marTop w:val="0"/>
      <w:marBottom w:val="0"/>
      <w:divBdr>
        <w:top w:val="none" w:sz="0" w:space="0" w:color="auto"/>
        <w:left w:val="none" w:sz="0" w:space="0" w:color="auto"/>
        <w:bottom w:val="none" w:sz="0" w:space="0" w:color="auto"/>
        <w:right w:val="none" w:sz="0" w:space="0" w:color="auto"/>
      </w:divBdr>
      <w:divsChild>
        <w:div w:id="1721631857">
          <w:marLeft w:val="547"/>
          <w:marRight w:val="0"/>
          <w:marTop w:val="0"/>
          <w:marBottom w:val="0"/>
          <w:divBdr>
            <w:top w:val="none" w:sz="0" w:space="0" w:color="auto"/>
            <w:left w:val="none" w:sz="0" w:space="0" w:color="auto"/>
            <w:bottom w:val="none" w:sz="0" w:space="0" w:color="auto"/>
            <w:right w:val="none" w:sz="0" w:space="0" w:color="auto"/>
          </w:divBdr>
        </w:div>
        <w:div w:id="1557815773">
          <w:marLeft w:val="547"/>
          <w:marRight w:val="0"/>
          <w:marTop w:val="0"/>
          <w:marBottom w:val="0"/>
          <w:divBdr>
            <w:top w:val="none" w:sz="0" w:space="0" w:color="auto"/>
            <w:left w:val="none" w:sz="0" w:space="0" w:color="auto"/>
            <w:bottom w:val="none" w:sz="0" w:space="0" w:color="auto"/>
            <w:right w:val="none" w:sz="0" w:space="0" w:color="auto"/>
          </w:divBdr>
        </w:div>
        <w:div w:id="1556158242">
          <w:marLeft w:val="547"/>
          <w:marRight w:val="0"/>
          <w:marTop w:val="0"/>
          <w:marBottom w:val="0"/>
          <w:divBdr>
            <w:top w:val="none" w:sz="0" w:space="0" w:color="auto"/>
            <w:left w:val="none" w:sz="0" w:space="0" w:color="auto"/>
            <w:bottom w:val="none" w:sz="0" w:space="0" w:color="auto"/>
            <w:right w:val="none" w:sz="0" w:space="0" w:color="auto"/>
          </w:divBdr>
        </w:div>
        <w:div w:id="1264071427">
          <w:marLeft w:val="547"/>
          <w:marRight w:val="0"/>
          <w:marTop w:val="0"/>
          <w:marBottom w:val="0"/>
          <w:divBdr>
            <w:top w:val="none" w:sz="0" w:space="0" w:color="auto"/>
            <w:left w:val="none" w:sz="0" w:space="0" w:color="auto"/>
            <w:bottom w:val="none" w:sz="0" w:space="0" w:color="auto"/>
            <w:right w:val="none" w:sz="0" w:space="0" w:color="auto"/>
          </w:divBdr>
        </w:div>
        <w:div w:id="1378701786">
          <w:marLeft w:val="547"/>
          <w:marRight w:val="0"/>
          <w:marTop w:val="0"/>
          <w:marBottom w:val="0"/>
          <w:divBdr>
            <w:top w:val="none" w:sz="0" w:space="0" w:color="auto"/>
            <w:left w:val="none" w:sz="0" w:space="0" w:color="auto"/>
            <w:bottom w:val="none" w:sz="0" w:space="0" w:color="auto"/>
            <w:right w:val="none" w:sz="0" w:space="0" w:color="auto"/>
          </w:divBdr>
        </w:div>
        <w:div w:id="1129592203">
          <w:marLeft w:val="1166"/>
          <w:marRight w:val="0"/>
          <w:marTop w:val="0"/>
          <w:marBottom w:val="0"/>
          <w:divBdr>
            <w:top w:val="none" w:sz="0" w:space="0" w:color="auto"/>
            <w:left w:val="none" w:sz="0" w:space="0" w:color="auto"/>
            <w:bottom w:val="none" w:sz="0" w:space="0" w:color="auto"/>
            <w:right w:val="none" w:sz="0" w:space="0" w:color="auto"/>
          </w:divBdr>
        </w:div>
      </w:divsChild>
    </w:div>
    <w:div w:id="627130014">
      <w:bodyDiv w:val="1"/>
      <w:marLeft w:val="0"/>
      <w:marRight w:val="0"/>
      <w:marTop w:val="0"/>
      <w:marBottom w:val="0"/>
      <w:divBdr>
        <w:top w:val="none" w:sz="0" w:space="0" w:color="auto"/>
        <w:left w:val="none" w:sz="0" w:space="0" w:color="auto"/>
        <w:bottom w:val="none" w:sz="0" w:space="0" w:color="auto"/>
        <w:right w:val="none" w:sz="0" w:space="0" w:color="auto"/>
      </w:divBdr>
      <w:divsChild>
        <w:div w:id="203179169">
          <w:marLeft w:val="907"/>
          <w:marRight w:val="0"/>
          <w:marTop w:val="0"/>
          <w:marBottom w:val="0"/>
          <w:divBdr>
            <w:top w:val="none" w:sz="0" w:space="0" w:color="auto"/>
            <w:left w:val="none" w:sz="0" w:space="0" w:color="auto"/>
            <w:bottom w:val="none" w:sz="0" w:space="0" w:color="auto"/>
            <w:right w:val="none" w:sz="0" w:space="0" w:color="auto"/>
          </w:divBdr>
        </w:div>
        <w:div w:id="1043141593">
          <w:marLeft w:val="907"/>
          <w:marRight w:val="0"/>
          <w:marTop w:val="0"/>
          <w:marBottom w:val="0"/>
          <w:divBdr>
            <w:top w:val="none" w:sz="0" w:space="0" w:color="auto"/>
            <w:left w:val="none" w:sz="0" w:space="0" w:color="auto"/>
            <w:bottom w:val="none" w:sz="0" w:space="0" w:color="auto"/>
            <w:right w:val="none" w:sz="0" w:space="0" w:color="auto"/>
          </w:divBdr>
        </w:div>
        <w:div w:id="586883205">
          <w:marLeft w:val="907"/>
          <w:marRight w:val="0"/>
          <w:marTop w:val="0"/>
          <w:marBottom w:val="0"/>
          <w:divBdr>
            <w:top w:val="none" w:sz="0" w:space="0" w:color="auto"/>
            <w:left w:val="none" w:sz="0" w:space="0" w:color="auto"/>
            <w:bottom w:val="none" w:sz="0" w:space="0" w:color="auto"/>
            <w:right w:val="none" w:sz="0" w:space="0" w:color="auto"/>
          </w:divBdr>
        </w:div>
      </w:divsChild>
    </w:div>
    <w:div w:id="720403858">
      <w:bodyDiv w:val="1"/>
      <w:marLeft w:val="0"/>
      <w:marRight w:val="0"/>
      <w:marTop w:val="0"/>
      <w:marBottom w:val="0"/>
      <w:divBdr>
        <w:top w:val="none" w:sz="0" w:space="0" w:color="auto"/>
        <w:left w:val="none" w:sz="0" w:space="0" w:color="auto"/>
        <w:bottom w:val="none" w:sz="0" w:space="0" w:color="auto"/>
        <w:right w:val="none" w:sz="0" w:space="0" w:color="auto"/>
      </w:divBdr>
    </w:div>
    <w:div w:id="834030228">
      <w:bodyDiv w:val="1"/>
      <w:marLeft w:val="0"/>
      <w:marRight w:val="0"/>
      <w:marTop w:val="0"/>
      <w:marBottom w:val="0"/>
      <w:divBdr>
        <w:top w:val="none" w:sz="0" w:space="0" w:color="auto"/>
        <w:left w:val="none" w:sz="0" w:space="0" w:color="auto"/>
        <w:bottom w:val="none" w:sz="0" w:space="0" w:color="auto"/>
        <w:right w:val="none" w:sz="0" w:space="0" w:color="auto"/>
      </w:divBdr>
      <w:divsChild>
        <w:div w:id="1927691960">
          <w:marLeft w:val="547"/>
          <w:marRight w:val="0"/>
          <w:marTop w:val="0"/>
          <w:marBottom w:val="0"/>
          <w:divBdr>
            <w:top w:val="none" w:sz="0" w:space="0" w:color="auto"/>
            <w:left w:val="none" w:sz="0" w:space="0" w:color="auto"/>
            <w:bottom w:val="none" w:sz="0" w:space="0" w:color="auto"/>
            <w:right w:val="none" w:sz="0" w:space="0" w:color="auto"/>
          </w:divBdr>
        </w:div>
      </w:divsChild>
    </w:div>
    <w:div w:id="873545245">
      <w:bodyDiv w:val="1"/>
      <w:marLeft w:val="0"/>
      <w:marRight w:val="0"/>
      <w:marTop w:val="0"/>
      <w:marBottom w:val="0"/>
      <w:divBdr>
        <w:top w:val="none" w:sz="0" w:space="0" w:color="auto"/>
        <w:left w:val="none" w:sz="0" w:space="0" w:color="auto"/>
        <w:bottom w:val="none" w:sz="0" w:space="0" w:color="auto"/>
        <w:right w:val="none" w:sz="0" w:space="0" w:color="auto"/>
      </w:divBdr>
    </w:div>
    <w:div w:id="882130314">
      <w:bodyDiv w:val="1"/>
      <w:marLeft w:val="0"/>
      <w:marRight w:val="0"/>
      <w:marTop w:val="0"/>
      <w:marBottom w:val="0"/>
      <w:divBdr>
        <w:top w:val="none" w:sz="0" w:space="0" w:color="auto"/>
        <w:left w:val="none" w:sz="0" w:space="0" w:color="auto"/>
        <w:bottom w:val="none" w:sz="0" w:space="0" w:color="auto"/>
        <w:right w:val="none" w:sz="0" w:space="0" w:color="auto"/>
      </w:divBdr>
      <w:divsChild>
        <w:div w:id="1247032919">
          <w:marLeft w:val="547"/>
          <w:marRight w:val="0"/>
          <w:marTop w:val="0"/>
          <w:marBottom w:val="0"/>
          <w:divBdr>
            <w:top w:val="none" w:sz="0" w:space="0" w:color="auto"/>
            <w:left w:val="none" w:sz="0" w:space="0" w:color="auto"/>
            <w:bottom w:val="none" w:sz="0" w:space="0" w:color="auto"/>
            <w:right w:val="none" w:sz="0" w:space="0" w:color="auto"/>
          </w:divBdr>
        </w:div>
      </w:divsChild>
    </w:div>
    <w:div w:id="911815793">
      <w:bodyDiv w:val="1"/>
      <w:marLeft w:val="0"/>
      <w:marRight w:val="0"/>
      <w:marTop w:val="0"/>
      <w:marBottom w:val="0"/>
      <w:divBdr>
        <w:top w:val="none" w:sz="0" w:space="0" w:color="auto"/>
        <w:left w:val="none" w:sz="0" w:space="0" w:color="auto"/>
        <w:bottom w:val="none" w:sz="0" w:space="0" w:color="auto"/>
        <w:right w:val="none" w:sz="0" w:space="0" w:color="auto"/>
      </w:divBdr>
      <w:divsChild>
        <w:div w:id="81613521">
          <w:marLeft w:val="1080"/>
          <w:marRight w:val="0"/>
          <w:marTop w:val="0"/>
          <w:marBottom w:val="0"/>
          <w:divBdr>
            <w:top w:val="none" w:sz="0" w:space="0" w:color="auto"/>
            <w:left w:val="none" w:sz="0" w:space="0" w:color="auto"/>
            <w:bottom w:val="none" w:sz="0" w:space="0" w:color="auto"/>
            <w:right w:val="none" w:sz="0" w:space="0" w:color="auto"/>
          </w:divBdr>
        </w:div>
      </w:divsChild>
    </w:div>
    <w:div w:id="920678870">
      <w:bodyDiv w:val="1"/>
      <w:marLeft w:val="0"/>
      <w:marRight w:val="0"/>
      <w:marTop w:val="0"/>
      <w:marBottom w:val="0"/>
      <w:divBdr>
        <w:top w:val="none" w:sz="0" w:space="0" w:color="auto"/>
        <w:left w:val="none" w:sz="0" w:space="0" w:color="auto"/>
        <w:bottom w:val="none" w:sz="0" w:space="0" w:color="auto"/>
        <w:right w:val="none" w:sz="0" w:space="0" w:color="auto"/>
      </w:divBdr>
      <w:divsChild>
        <w:div w:id="1196845725">
          <w:marLeft w:val="547"/>
          <w:marRight w:val="0"/>
          <w:marTop w:val="0"/>
          <w:marBottom w:val="0"/>
          <w:divBdr>
            <w:top w:val="none" w:sz="0" w:space="0" w:color="auto"/>
            <w:left w:val="none" w:sz="0" w:space="0" w:color="auto"/>
            <w:bottom w:val="none" w:sz="0" w:space="0" w:color="auto"/>
            <w:right w:val="none" w:sz="0" w:space="0" w:color="auto"/>
          </w:divBdr>
        </w:div>
      </w:divsChild>
    </w:div>
    <w:div w:id="957102513">
      <w:bodyDiv w:val="1"/>
      <w:marLeft w:val="0"/>
      <w:marRight w:val="0"/>
      <w:marTop w:val="0"/>
      <w:marBottom w:val="0"/>
      <w:divBdr>
        <w:top w:val="none" w:sz="0" w:space="0" w:color="auto"/>
        <w:left w:val="none" w:sz="0" w:space="0" w:color="auto"/>
        <w:bottom w:val="none" w:sz="0" w:space="0" w:color="auto"/>
        <w:right w:val="none" w:sz="0" w:space="0" w:color="auto"/>
      </w:divBdr>
      <w:divsChild>
        <w:div w:id="116072881">
          <w:marLeft w:val="1080"/>
          <w:marRight w:val="0"/>
          <w:marTop w:val="240"/>
          <w:marBottom w:val="0"/>
          <w:divBdr>
            <w:top w:val="none" w:sz="0" w:space="0" w:color="auto"/>
            <w:left w:val="none" w:sz="0" w:space="0" w:color="auto"/>
            <w:bottom w:val="none" w:sz="0" w:space="0" w:color="auto"/>
            <w:right w:val="none" w:sz="0" w:space="0" w:color="auto"/>
          </w:divBdr>
        </w:div>
        <w:div w:id="629747407">
          <w:marLeft w:val="1080"/>
          <w:marRight w:val="0"/>
          <w:marTop w:val="240"/>
          <w:marBottom w:val="0"/>
          <w:divBdr>
            <w:top w:val="none" w:sz="0" w:space="0" w:color="auto"/>
            <w:left w:val="none" w:sz="0" w:space="0" w:color="auto"/>
            <w:bottom w:val="none" w:sz="0" w:space="0" w:color="auto"/>
            <w:right w:val="none" w:sz="0" w:space="0" w:color="auto"/>
          </w:divBdr>
        </w:div>
        <w:div w:id="1143742464">
          <w:marLeft w:val="1080"/>
          <w:marRight w:val="0"/>
          <w:marTop w:val="240"/>
          <w:marBottom w:val="0"/>
          <w:divBdr>
            <w:top w:val="none" w:sz="0" w:space="0" w:color="auto"/>
            <w:left w:val="none" w:sz="0" w:space="0" w:color="auto"/>
            <w:bottom w:val="none" w:sz="0" w:space="0" w:color="auto"/>
            <w:right w:val="none" w:sz="0" w:space="0" w:color="auto"/>
          </w:divBdr>
        </w:div>
      </w:divsChild>
    </w:div>
    <w:div w:id="987367386">
      <w:bodyDiv w:val="1"/>
      <w:marLeft w:val="0"/>
      <w:marRight w:val="0"/>
      <w:marTop w:val="0"/>
      <w:marBottom w:val="0"/>
      <w:divBdr>
        <w:top w:val="none" w:sz="0" w:space="0" w:color="auto"/>
        <w:left w:val="none" w:sz="0" w:space="0" w:color="auto"/>
        <w:bottom w:val="none" w:sz="0" w:space="0" w:color="auto"/>
        <w:right w:val="none" w:sz="0" w:space="0" w:color="auto"/>
      </w:divBdr>
    </w:div>
    <w:div w:id="990058940">
      <w:bodyDiv w:val="1"/>
      <w:marLeft w:val="0"/>
      <w:marRight w:val="0"/>
      <w:marTop w:val="0"/>
      <w:marBottom w:val="0"/>
      <w:divBdr>
        <w:top w:val="none" w:sz="0" w:space="0" w:color="auto"/>
        <w:left w:val="none" w:sz="0" w:space="0" w:color="auto"/>
        <w:bottom w:val="none" w:sz="0" w:space="0" w:color="auto"/>
        <w:right w:val="none" w:sz="0" w:space="0" w:color="auto"/>
      </w:divBdr>
    </w:div>
    <w:div w:id="993529314">
      <w:bodyDiv w:val="1"/>
      <w:marLeft w:val="0"/>
      <w:marRight w:val="0"/>
      <w:marTop w:val="0"/>
      <w:marBottom w:val="0"/>
      <w:divBdr>
        <w:top w:val="none" w:sz="0" w:space="0" w:color="auto"/>
        <w:left w:val="none" w:sz="0" w:space="0" w:color="auto"/>
        <w:bottom w:val="none" w:sz="0" w:space="0" w:color="auto"/>
        <w:right w:val="none" w:sz="0" w:space="0" w:color="auto"/>
      </w:divBdr>
      <w:divsChild>
        <w:div w:id="653023053">
          <w:marLeft w:val="907"/>
          <w:marRight w:val="0"/>
          <w:marTop w:val="0"/>
          <w:marBottom w:val="0"/>
          <w:divBdr>
            <w:top w:val="none" w:sz="0" w:space="0" w:color="auto"/>
            <w:left w:val="none" w:sz="0" w:space="0" w:color="auto"/>
            <w:bottom w:val="none" w:sz="0" w:space="0" w:color="auto"/>
            <w:right w:val="none" w:sz="0" w:space="0" w:color="auto"/>
          </w:divBdr>
        </w:div>
      </w:divsChild>
    </w:div>
    <w:div w:id="1020397262">
      <w:bodyDiv w:val="1"/>
      <w:marLeft w:val="0"/>
      <w:marRight w:val="0"/>
      <w:marTop w:val="0"/>
      <w:marBottom w:val="0"/>
      <w:divBdr>
        <w:top w:val="none" w:sz="0" w:space="0" w:color="auto"/>
        <w:left w:val="none" w:sz="0" w:space="0" w:color="auto"/>
        <w:bottom w:val="none" w:sz="0" w:space="0" w:color="auto"/>
        <w:right w:val="none" w:sz="0" w:space="0" w:color="auto"/>
      </w:divBdr>
    </w:div>
    <w:div w:id="1063411908">
      <w:bodyDiv w:val="1"/>
      <w:marLeft w:val="0"/>
      <w:marRight w:val="0"/>
      <w:marTop w:val="0"/>
      <w:marBottom w:val="0"/>
      <w:divBdr>
        <w:top w:val="none" w:sz="0" w:space="0" w:color="auto"/>
        <w:left w:val="none" w:sz="0" w:space="0" w:color="auto"/>
        <w:bottom w:val="none" w:sz="0" w:space="0" w:color="auto"/>
        <w:right w:val="none" w:sz="0" w:space="0" w:color="auto"/>
      </w:divBdr>
    </w:div>
    <w:div w:id="1105610303">
      <w:bodyDiv w:val="1"/>
      <w:marLeft w:val="0"/>
      <w:marRight w:val="0"/>
      <w:marTop w:val="0"/>
      <w:marBottom w:val="0"/>
      <w:divBdr>
        <w:top w:val="none" w:sz="0" w:space="0" w:color="auto"/>
        <w:left w:val="none" w:sz="0" w:space="0" w:color="auto"/>
        <w:bottom w:val="none" w:sz="0" w:space="0" w:color="auto"/>
        <w:right w:val="none" w:sz="0" w:space="0" w:color="auto"/>
      </w:divBdr>
      <w:divsChild>
        <w:div w:id="1493134068">
          <w:marLeft w:val="547"/>
          <w:marRight w:val="0"/>
          <w:marTop w:val="0"/>
          <w:marBottom w:val="0"/>
          <w:divBdr>
            <w:top w:val="none" w:sz="0" w:space="0" w:color="auto"/>
            <w:left w:val="none" w:sz="0" w:space="0" w:color="auto"/>
            <w:bottom w:val="none" w:sz="0" w:space="0" w:color="auto"/>
            <w:right w:val="none" w:sz="0" w:space="0" w:color="auto"/>
          </w:divBdr>
        </w:div>
        <w:div w:id="775174537">
          <w:marLeft w:val="547"/>
          <w:marRight w:val="0"/>
          <w:marTop w:val="0"/>
          <w:marBottom w:val="0"/>
          <w:divBdr>
            <w:top w:val="none" w:sz="0" w:space="0" w:color="auto"/>
            <w:left w:val="none" w:sz="0" w:space="0" w:color="auto"/>
            <w:bottom w:val="none" w:sz="0" w:space="0" w:color="auto"/>
            <w:right w:val="none" w:sz="0" w:space="0" w:color="auto"/>
          </w:divBdr>
        </w:div>
        <w:div w:id="1225679407">
          <w:marLeft w:val="1166"/>
          <w:marRight w:val="0"/>
          <w:marTop w:val="0"/>
          <w:marBottom w:val="0"/>
          <w:divBdr>
            <w:top w:val="none" w:sz="0" w:space="0" w:color="auto"/>
            <w:left w:val="none" w:sz="0" w:space="0" w:color="auto"/>
            <w:bottom w:val="none" w:sz="0" w:space="0" w:color="auto"/>
            <w:right w:val="none" w:sz="0" w:space="0" w:color="auto"/>
          </w:divBdr>
        </w:div>
        <w:div w:id="1336492410">
          <w:marLeft w:val="1166"/>
          <w:marRight w:val="0"/>
          <w:marTop w:val="0"/>
          <w:marBottom w:val="0"/>
          <w:divBdr>
            <w:top w:val="none" w:sz="0" w:space="0" w:color="auto"/>
            <w:left w:val="none" w:sz="0" w:space="0" w:color="auto"/>
            <w:bottom w:val="none" w:sz="0" w:space="0" w:color="auto"/>
            <w:right w:val="none" w:sz="0" w:space="0" w:color="auto"/>
          </w:divBdr>
        </w:div>
        <w:div w:id="1812481988">
          <w:marLeft w:val="547"/>
          <w:marRight w:val="0"/>
          <w:marTop w:val="0"/>
          <w:marBottom w:val="0"/>
          <w:divBdr>
            <w:top w:val="none" w:sz="0" w:space="0" w:color="auto"/>
            <w:left w:val="none" w:sz="0" w:space="0" w:color="auto"/>
            <w:bottom w:val="none" w:sz="0" w:space="0" w:color="auto"/>
            <w:right w:val="none" w:sz="0" w:space="0" w:color="auto"/>
          </w:divBdr>
        </w:div>
      </w:divsChild>
    </w:div>
    <w:div w:id="1107194586">
      <w:bodyDiv w:val="1"/>
      <w:marLeft w:val="0"/>
      <w:marRight w:val="0"/>
      <w:marTop w:val="0"/>
      <w:marBottom w:val="0"/>
      <w:divBdr>
        <w:top w:val="none" w:sz="0" w:space="0" w:color="auto"/>
        <w:left w:val="none" w:sz="0" w:space="0" w:color="auto"/>
        <w:bottom w:val="none" w:sz="0" w:space="0" w:color="auto"/>
        <w:right w:val="none" w:sz="0" w:space="0" w:color="auto"/>
      </w:divBdr>
    </w:div>
    <w:div w:id="1108039275">
      <w:bodyDiv w:val="1"/>
      <w:marLeft w:val="0"/>
      <w:marRight w:val="0"/>
      <w:marTop w:val="0"/>
      <w:marBottom w:val="0"/>
      <w:divBdr>
        <w:top w:val="none" w:sz="0" w:space="0" w:color="auto"/>
        <w:left w:val="none" w:sz="0" w:space="0" w:color="auto"/>
        <w:bottom w:val="none" w:sz="0" w:space="0" w:color="auto"/>
        <w:right w:val="none" w:sz="0" w:space="0" w:color="auto"/>
      </w:divBdr>
    </w:div>
    <w:div w:id="1114180010">
      <w:bodyDiv w:val="1"/>
      <w:marLeft w:val="0"/>
      <w:marRight w:val="0"/>
      <w:marTop w:val="0"/>
      <w:marBottom w:val="0"/>
      <w:divBdr>
        <w:top w:val="none" w:sz="0" w:space="0" w:color="auto"/>
        <w:left w:val="none" w:sz="0" w:space="0" w:color="auto"/>
        <w:bottom w:val="none" w:sz="0" w:space="0" w:color="auto"/>
        <w:right w:val="none" w:sz="0" w:space="0" w:color="auto"/>
      </w:divBdr>
    </w:div>
    <w:div w:id="1126125344">
      <w:bodyDiv w:val="1"/>
      <w:marLeft w:val="0"/>
      <w:marRight w:val="0"/>
      <w:marTop w:val="0"/>
      <w:marBottom w:val="0"/>
      <w:divBdr>
        <w:top w:val="none" w:sz="0" w:space="0" w:color="auto"/>
        <w:left w:val="none" w:sz="0" w:space="0" w:color="auto"/>
        <w:bottom w:val="none" w:sz="0" w:space="0" w:color="auto"/>
        <w:right w:val="none" w:sz="0" w:space="0" w:color="auto"/>
      </w:divBdr>
    </w:div>
    <w:div w:id="1143041312">
      <w:bodyDiv w:val="1"/>
      <w:marLeft w:val="0"/>
      <w:marRight w:val="0"/>
      <w:marTop w:val="0"/>
      <w:marBottom w:val="0"/>
      <w:divBdr>
        <w:top w:val="none" w:sz="0" w:space="0" w:color="auto"/>
        <w:left w:val="none" w:sz="0" w:space="0" w:color="auto"/>
        <w:bottom w:val="none" w:sz="0" w:space="0" w:color="auto"/>
        <w:right w:val="none" w:sz="0" w:space="0" w:color="auto"/>
      </w:divBdr>
    </w:div>
    <w:div w:id="1179851798">
      <w:bodyDiv w:val="1"/>
      <w:marLeft w:val="0"/>
      <w:marRight w:val="0"/>
      <w:marTop w:val="0"/>
      <w:marBottom w:val="0"/>
      <w:divBdr>
        <w:top w:val="none" w:sz="0" w:space="0" w:color="auto"/>
        <w:left w:val="none" w:sz="0" w:space="0" w:color="auto"/>
        <w:bottom w:val="none" w:sz="0" w:space="0" w:color="auto"/>
        <w:right w:val="none" w:sz="0" w:space="0" w:color="auto"/>
      </w:divBdr>
    </w:div>
    <w:div w:id="1184395781">
      <w:bodyDiv w:val="1"/>
      <w:marLeft w:val="0"/>
      <w:marRight w:val="0"/>
      <w:marTop w:val="0"/>
      <w:marBottom w:val="0"/>
      <w:divBdr>
        <w:top w:val="none" w:sz="0" w:space="0" w:color="auto"/>
        <w:left w:val="none" w:sz="0" w:space="0" w:color="auto"/>
        <w:bottom w:val="none" w:sz="0" w:space="0" w:color="auto"/>
        <w:right w:val="none" w:sz="0" w:space="0" w:color="auto"/>
      </w:divBdr>
    </w:div>
    <w:div w:id="1205173048">
      <w:bodyDiv w:val="1"/>
      <w:marLeft w:val="0"/>
      <w:marRight w:val="0"/>
      <w:marTop w:val="0"/>
      <w:marBottom w:val="0"/>
      <w:divBdr>
        <w:top w:val="none" w:sz="0" w:space="0" w:color="auto"/>
        <w:left w:val="none" w:sz="0" w:space="0" w:color="auto"/>
        <w:bottom w:val="none" w:sz="0" w:space="0" w:color="auto"/>
        <w:right w:val="none" w:sz="0" w:space="0" w:color="auto"/>
      </w:divBdr>
    </w:div>
    <w:div w:id="1338386146">
      <w:bodyDiv w:val="1"/>
      <w:marLeft w:val="0"/>
      <w:marRight w:val="0"/>
      <w:marTop w:val="0"/>
      <w:marBottom w:val="0"/>
      <w:divBdr>
        <w:top w:val="none" w:sz="0" w:space="0" w:color="auto"/>
        <w:left w:val="none" w:sz="0" w:space="0" w:color="auto"/>
        <w:bottom w:val="none" w:sz="0" w:space="0" w:color="auto"/>
        <w:right w:val="none" w:sz="0" w:space="0" w:color="auto"/>
      </w:divBdr>
      <w:divsChild>
        <w:div w:id="338236181">
          <w:marLeft w:val="907"/>
          <w:marRight w:val="0"/>
          <w:marTop w:val="0"/>
          <w:marBottom w:val="0"/>
          <w:divBdr>
            <w:top w:val="none" w:sz="0" w:space="0" w:color="auto"/>
            <w:left w:val="none" w:sz="0" w:space="0" w:color="auto"/>
            <w:bottom w:val="none" w:sz="0" w:space="0" w:color="auto"/>
            <w:right w:val="none" w:sz="0" w:space="0" w:color="auto"/>
          </w:divBdr>
        </w:div>
        <w:div w:id="1772973733">
          <w:marLeft w:val="907"/>
          <w:marRight w:val="0"/>
          <w:marTop w:val="0"/>
          <w:marBottom w:val="0"/>
          <w:divBdr>
            <w:top w:val="none" w:sz="0" w:space="0" w:color="auto"/>
            <w:left w:val="none" w:sz="0" w:space="0" w:color="auto"/>
            <w:bottom w:val="none" w:sz="0" w:space="0" w:color="auto"/>
            <w:right w:val="none" w:sz="0" w:space="0" w:color="auto"/>
          </w:divBdr>
        </w:div>
      </w:divsChild>
    </w:div>
    <w:div w:id="1356927589">
      <w:bodyDiv w:val="1"/>
      <w:marLeft w:val="0"/>
      <w:marRight w:val="0"/>
      <w:marTop w:val="0"/>
      <w:marBottom w:val="0"/>
      <w:divBdr>
        <w:top w:val="none" w:sz="0" w:space="0" w:color="auto"/>
        <w:left w:val="none" w:sz="0" w:space="0" w:color="auto"/>
        <w:bottom w:val="none" w:sz="0" w:space="0" w:color="auto"/>
        <w:right w:val="none" w:sz="0" w:space="0" w:color="auto"/>
      </w:divBdr>
    </w:div>
    <w:div w:id="1458335692">
      <w:bodyDiv w:val="1"/>
      <w:marLeft w:val="0"/>
      <w:marRight w:val="0"/>
      <w:marTop w:val="0"/>
      <w:marBottom w:val="0"/>
      <w:divBdr>
        <w:top w:val="none" w:sz="0" w:space="0" w:color="auto"/>
        <w:left w:val="none" w:sz="0" w:space="0" w:color="auto"/>
        <w:bottom w:val="none" w:sz="0" w:space="0" w:color="auto"/>
        <w:right w:val="none" w:sz="0" w:space="0" w:color="auto"/>
      </w:divBdr>
    </w:div>
    <w:div w:id="1501045311">
      <w:bodyDiv w:val="1"/>
      <w:marLeft w:val="0"/>
      <w:marRight w:val="0"/>
      <w:marTop w:val="0"/>
      <w:marBottom w:val="0"/>
      <w:divBdr>
        <w:top w:val="none" w:sz="0" w:space="0" w:color="auto"/>
        <w:left w:val="none" w:sz="0" w:space="0" w:color="auto"/>
        <w:bottom w:val="none" w:sz="0" w:space="0" w:color="auto"/>
        <w:right w:val="none" w:sz="0" w:space="0" w:color="auto"/>
      </w:divBdr>
      <w:divsChild>
        <w:div w:id="645663820">
          <w:marLeft w:val="1080"/>
          <w:marRight w:val="0"/>
          <w:marTop w:val="0"/>
          <w:marBottom w:val="0"/>
          <w:divBdr>
            <w:top w:val="none" w:sz="0" w:space="0" w:color="auto"/>
            <w:left w:val="none" w:sz="0" w:space="0" w:color="auto"/>
            <w:bottom w:val="none" w:sz="0" w:space="0" w:color="auto"/>
            <w:right w:val="none" w:sz="0" w:space="0" w:color="auto"/>
          </w:divBdr>
        </w:div>
      </w:divsChild>
    </w:div>
    <w:div w:id="1509438939">
      <w:bodyDiv w:val="1"/>
      <w:marLeft w:val="0"/>
      <w:marRight w:val="0"/>
      <w:marTop w:val="0"/>
      <w:marBottom w:val="0"/>
      <w:divBdr>
        <w:top w:val="none" w:sz="0" w:space="0" w:color="auto"/>
        <w:left w:val="none" w:sz="0" w:space="0" w:color="auto"/>
        <w:bottom w:val="none" w:sz="0" w:space="0" w:color="auto"/>
        <w:right w:val="none" w:sz="0" w:space="0" w:color="auto"/>
      </w:divBdr>
    </w:div>
    <w:div w:id="1628660471">
      <w:bodyDiv w:val="1"/>
      <w:marLeft w:val="0"/>
      <w:marRight w:val="0"/>
      <w:marTop w:val="0"/>
      <w:marBottom w:val="0"/>
      <w:divBdr>
        <w:top w:val="none" w:sz="0" w:space="0" w:color="auto"/>
        <w:left w:val="none" w:sz="0" w:space="0" w:color="auto"/>
        <w:bottom w:val="none" w:sz="0" w:space="0" w:color="auto"/>
        <w:right w:val="none" w:sz="0" w:space="0" w:color="auto"/>
      </w:divBdr>
    </w:div>
    <w:div w:id="1658261912">
      <w:bodyDiv w:val="1"/>
      <w:marLeft w:val="0"/>
      <w:marRight w:val="0"/>
      <w:marTop w:val="0"/>
      <w:marBottom w:val="0"/>
      <w:divBdr>
        <w:top w:val="none" w:sz="0" w:space="0" w:color="auto"/>
        <w:left w:val="none" w:sz="0" w:space="0" w:color="auto"/>
        <w:bottom w:val="none" w:sz="0" w:space="0" w:color="auto"/>
        <w:right w:val="none" w:sz="0" w:space="0" w:color="auto"/>
      </w:divBdr>
      <w:divsChild>
        <w:div w:id="517503998">
          <w:marLeft w:val="576"/>
          <w:marRight w:val="0"/>
          <w:marTop w:val="80"/>
          <w:marBottom w:val="0"/>
          <w:divBdr>
            <w:top w:val="none" w:sz="0" w:space="0" w:color="auto"/>
            <w:left w:val="none" w:sz="0" w:space="0" w:color="auto"/>
            <w:bottom w:val="none" w:sz="0" w:space="0" w:color="auto"/>
            <w:right w:val="none" w:sz="0" w:space="0" w:color="auto"/>
          </w:divBdr>
        </w:div>
      </w:divsChild>
    </w:div>
    <w:div w:id="1670403536">
      <w:bodyDiv w:val="1"/>
      <w:marLeft w:val="0"/>
      <w:marRight w:val="0"/>
      <w:marTop w:val="0"/>
      <w:marBottom w:val="0"/>
      <w:divBdr>
        <w:top w:val="none" w:sz="0" w:space="0" w:color="auto"/>
        <w:left w:val="none" w:sz="0" w:space="0" w:color="auto"/>
        <w:bottom w:val="none" w:sz="0" w:space="0" w:color="auto"/>
        <w:right w:val="none" w:sz="0" w:space="0" w:color="auto"/>
      </w:divBdr>
    </w:div>
    <w:div w:id="1704017087">
      <w:bodyDiv w:val="1"/>
      <w:marLeft w:val="0"/>
      <w:marRight w:val="0"/>
      <w:marTop w:val="0"/>
      <w:marBottom w:val="0"/>
      <w:divBdr>
        <w:top w:val="none" w:sz="0" w:space="0" w:color="auto"/>
        <w:left w:val="none" w:sz="0" w:space="0" w:color="auto"/>
        <w:bottom w:val="none" w:sz="0" w:space="0" w:color="auto"/>
        <w:right w:val="none" w:sz="0" w:space="0" w:color="auto"/>
      </w:divBdr>
    </w:div>
    <w:div w:id="1710715608">
      <w:bodyDiv w:val="1"/>
      <w:marLeft w:val="0"/>
      <w:marRight w:val="0"/>
      <w:marTop w:val="0"/>
      <w:marBottom w:val="0"/>
      <w:divBdr>
        <w:top w:val="none" w:sz="0" w:space="0" w:color="auto"/>
        <w:left w:val="none" w:sz="0" w:space="0" w:color="auto"/>
        <w:bottom w:val="none" w:sz="0" w:space="0" w:color="auto"/>
        <w:right w:val="none" w:sz="0" w:space="0" w:color="auto"/>
      </w:divBdr>
      <w:divsChild>
        <w:div w:id="1166748457">
          <w:marLeft w:val="907"/>
          <w:marRight w:val="0"/>
          <w:marTop w:val="0"/>
          <w:marBottom w:val="0"/>
          <w:divBdr>
            <w:top w:val="none" w:sz="0" w:space="0" w:color="auto"/>
            <w:left w:val="none" w:sz="0" w:space="0" w:color="auto"/>
            <w:bottom w:val="none" w:sz="0" w:space="0" w:color="auto"/>
            <w:right w:val="none" w:sz="0" w:space="0" w:color="auto"/>
          </w:divBdr>
        </w:div>
      </w:divsChild>
    </w:div>
    <w:div w:id="1730881367">
      <w:bodyDiv w:val="1"/>
      <w:marLeft w:val="0"/>
      <w:marRight w:val="0"/>
      <w:marTop w:val="0"/>
      <w:marBottom w:val="0"/>
      <w:divBdr>
        <w:top w:val="none" w:sz="0" w:space="0" w:color="auto"/>
        <w:left w:val="none" w:sz="0" w:space="0" w:color="auto"/>
        <w:bottom w:val="none" w:sz="0" w:space="0" w:color="auto"/>
        <w:right w:val="none" w:sz="0" w:space="0" w:color="auto"/>
      </w:divBdr>
    </w:div>
    <w:div w:id="1807235531">
      <w:bodyDiv w:val="1"/>
      <w:marLeft w:val="0"/>
      <w:marRight w:val="0"/>
      <w:marTop w:val="0"/>
      <w:marBottom w:val="0"/>
      <w:divBdr>
        <w:top w:val="none" w:sz="0" w:space="0" w:color="auto"/>
        <w:left w:val="none" w:sz="0" w:space="0" w:color="auto"/>
        <w:bottom w:val="none" w:sz="0" w:space="0" w:color="auto"/>
        <w:right w:val="none" w:sz="0" w:space="0" w:color="auto"/>
      </w:divBdr>
    </w:div>
    <w:div w:id="1856114366">
      <w:bodyDiv w:val="1"/>
      <w:marLeft w:val="0"/>
      <w:marRight w:val="0"/>
      <w:marTop w:val="0"/>
      <w:marBottom w:val="0"/>
      <w:divBdr>
        <w:top w:val="none" w:sz="0" w:space="0" w:color="auto"/>
        <w:left w:val="none" w:sz="0" w:space="0" w:color="auto"/>
        <w:bottom w:val="none" w:sz="0" w:space="0" w:color="auto"/>
        <w:right w:val="none" w:sz="0" w:space="0" w:color="auto"/>
      </w:divBdr>
    </w:div>
    <w:div w:id="1945454108">
      <w:bodyDiv w:val="1"/>
      <w:marLeft w:val="0"/>
      <w:marRight w:val="0"/>
      <w:marTop w:val="0"/>
      <w:marBottom w:val="0"/>
      <w:divBdr>
        <w:top w:val="none" w:sz="0" w:space="0" w:color="auto"/>
        <w:left w:val="none" w:sz="0" w:space="0" w:color="auto"/>
        <w:bottom w:val="none" w:sz="0" w:space="0" w:color="auto"/>
        <w:right w:val="none" w:sz="0" w:space="0" w:color="auto"/>
      </w:divBdr>
    </w:div>
    <w:div w:id="1946620915">
      <w:bodyDiv w:val="1"/>
      <w:marLeft w:val="0"/>
      <w:marRight w:val="0"/>
      <w:marTop w:val="0"/>
      <w:marBottom w:val="0"/>
      <w:divBdr>
        <w:top w:val="none" w:sz="0" w:space="0" w:color="auto"/>
        <w:left w:val="none" w:sz="0" w:space="0" w:color="auto"/>
        <w:bottom w:val="none" w:sz="0" w:space="0" w:color="auto"/>
        <w:right w:val="none" w:sz="0" w:space="0" w:color="auto"/>
      </w:divBdr>
    </w:div>
    <w:div w:id="1948999585">
      <w:bodyDiv w:val="1"/>
      <w:marLeft w:val="0"/>
      <w:marRight w:val="0"/>
      <w:marTop w:val="0"/>
      <w:marBottom w:val="0"/>
      <w:divBdr>
        <w:top w:val="none" w:sz="0" w:space="0" w:color="auto"/>
        <w:left w:val="none" w:sz="0" w:space="0" w:color="auto"/>
        <w:bottom w:val="none" w:sz="0" w:space="0" w:color="auto"/>
        <w:right w:val="none" w:sz="0" w:space="0" w:color="auto"/>
      </w:divBdr>
      <w:divsChild>
        <w:div w:id="1115052762">
          <w:marLeft w:val="734"/>
          <w:marRight w:val="0"/>
          <w:marTop w:val="200"/>
          <w:marBottom w:val="100"/>
          <w:divBdr>
            <w:top w:val="none" w:sz="0" w:space="0" w:color="auto"/>
            <w:left w:val="none" w:sz="0" w:space="0" w:color="auto"/>
            <w:bottom w:val="none" w:sz="0" w:space="0" w:color="auto"/>
            <w:right w:val="none" w:sz="0" w:space="0" w:color="auto"/>
          </w:divBdr>
        </w:div>
        <w:div w:id="2069257954">
          <w:marLeft w:val="1454"/>
          <w:marRight w:val="0"/>
          <w:marTop w:val="0"/>
          <w:marBottom w:val="60"/>
          <w:divBdr>
            <w:top w:val="none" w:sz="0" w:space="0" w:color="auto"/>
            <w:left w:val="none" w:sz="0" w:space="0" w:color="auto"/>
            <w:bottom w:val="none" w:sz="0" w:space="0" w:color="auto"/>
            <w:right w:val="none" w:sz="0" w:space="0" w:color="auto"/>
          </w:divBdr>
        </w:div>
        <w:div w:id="376785703">
          <w:marLeft w:val="1454"/>
          <w:marRight w:val="0"/>
          <w:marTop w:val="0"/>
          <w:marBottom w:val="60"/>
          <w:divBdr>
            <w:top w:val="none" w:sz="0" w:space="0" w:color="auto"/>
            <w:left w:val="none" w:sz="0" w:space="0" w:color="auto"/>
            <w:bottom w:val="none" w:sz="0" w:space="0" w:color="auto"/>
            <w:right w:val="none" w:sz="0" w:space="0" w:color="auto"/>
          </w:divBdr>
        </w:div>
        <w:div w:id="607808928">
          <w:marLeft w:val="1454"/>
          <w:marRight w:val="0"/>
          <w:marTop w:val="0"/>
          <w:marBottom w:val="60"/>
          <w:divBdr>
            <w:top w:val="none" w:sz="0" w:space="0" w:color="auto"/>
            <w:left w:val="none" w:sz="0" w:space="0" w:color="auto"/>
            <w:bottom w:val="none" w:sz="0" w:space="0" w:color="auto"/>
            <w:right w:val="none" w:sz="0" w:space="0" w:color="auto"/>
          </w:divBdr>
        </w:div>
        <w:div w:id="1530069563">
          <w:marLeft w:val="1454"/>
          <w:marRight w:val="0"/>
          <w:marTop w:val="0"/>
          <w:marBottom w:val="60"/>
          <w:divBdr>
            <w:top w:val="none" w:sz="0" w:space="0" w:color="auto"/>
            <w:left w:val="none" w:sz="0" w:space="0" w:color="auto"/>
            <w:bottom w:val="none" w:sz="0" w:space="0" w:color="auto"/>
            <w:right w:val="none" w:sz="0" w:space="0" w:color="auto"/>
          </w:divBdr>
        </w:div>
        <w:div w:id="1100443679">
          <w:marLeft w:val="821"/>
          <w:marRight w:val="0"/>
          <w:marTop w:val="200"/>
          <w:marBottom w:val="100"/>
          <w:divBdr>
            <w:top w:val="none" w:sz="0" w:space="0" w:color="auto"/>
            <w:left w:val="none" w:sz="0" w:space="0" w:color="auto"/>
            <w:bottom w:val="none" w:sz="0" w:space="0" w:color="auto"/>
            <w:right w:val="none" w:sz="0" w:space="0" w:color="auto"/>
          </w:divBdr>
        </w:div>
      </w:divsChild>
    </w:div>
    <w:div w:id="2025088556">
      <w:bodyDiv w:val="1"/>
      <w:marLeft w:val="0"/>
      <w:marRight w:val="0"/>
      <w:marTop w:val="0"/>
      <w:marBottom w:val="0"/>
      <w:divBdr>
        <w:top w:val="none" w:sz="0" w:space="0" w:color="auto"/>
        <w:left w:val="none" w:sz="0" w:space="0" w:color="auto"/>
        <w:bottom w:val="none" w:sz="0" w:space="0" w:color="auto"/>
        <w:right w:val="none" w:sz="0" w:space="0" w:color="auto"/>
      </w:divBdr>
      <w:divsChild>
        <w:div w:id="1490557136">
          <w:marLeft w:val="547"/>
          <w:marRight w:val="0"/>
          <w:marTop w:val="0"/>
          <w:marBottom w:val="0"/>
          <w:divBdr>
            <w:top w:val="none" w:sz="0" w:space="0" w:color="auto"/>
            <w:left w:val="none" w:sz="0" w:space="0" w:color="auto"/>
            <w:bottom w:val="none" w:sz="0" w:space="0" w:color="auto"/>
            <w:right w:val="none" w:sz="0" w:space="0" w:color="auto"/>
          </w:divBdr>
        </w:div>
        <w:div w:id="2055890227">
          <w:marLeft w:val="547"/>
          <w:marRight w:val="0"/>
          <w:marTop w:val="0"/>
          <w:marBottom w:val="0"/>
          <w:divBdr>
            <w:top w:val="none" w:sz="0" w:space="0" w:color="auto"/>
            <w:left w:val="none" w:sz="0" w:space="0" w:color="auto"/>
            <w:bottom w:val="none" w:sz="0" w:space="0" w:color="auto"/>
            <w:right w:val="none" w:sz="0" w:space="0" w:color="auto"/>
          </w:divBdr>
        </w:div>
        <w:div w:id="352003149">
          <w:marLeft w:val="547"/>
          <w:marRight w:val="0"/>
          <w:marTop w:val="0"/>
          <w:marBottom w:val="0"/>
          <w:divBdr>
            <w:top w:val="none" w:sz="0" w:space="0" w:color="auto"/>
            <w:left w:val="none" w:sz="0" w:space="0" w:color="auto"/>
            <w:bottom w:val="none" w:sz="0" w:space="0" w:color="auto"/>
            <w:right w:val="none" w:sz="0" w:space="0" w:color="auto"/>
          </w:divBdr>
        </w:div>
        <w:div w:id="1879974336">
          <w:marLeft w:val="547"/>
          <w:marRight w:val="0"/>
          <w:marTop w:val="0"/>
          <w:marBottom w:val="0"/>
          <w:divBdr>
            <w:top w:val="none" w:sz="0" w:space="0" w:color="auto"/>
            <w:left w:val="none" w:sz="0" w:space="0" w:color="auto"/>
            <w:bottom w:val="none" w:sz="0" w:space="0" w:color="auto"/>
            <w:right w:val="none" w:sz="0" w:space="0" w:color="auto"/>
          </w:divBdr>
        </w:div>
        <w:div w:id="1834754806">
          <w:marLeft w:val="547"/>
          <w:marRight w:val="0"/>
          <w:marTop w:val="0"/>
          <w:marBottom w:val="0"/>
          <w:divBdr>
            <w:top w:val="none" w:sz="0" w:space="0" w:color="auto"/>
            <w:left w:val="none" w:sz="0" w:space="0" w:color="auto"/>
            <w:bottom w:val="none" w:sz="0" w:space="0" w:color="auto"/>
            <w:right w:val="none" w:sz="0" w:space="0" w:color="auto"/>
          </w:divBdr>
        </w:div>
        <w:div w:id="2079278027">
          <w:marLeft w:val="547"/>
          <w:marRight w:val="0"/>
          <w:marTop w:val="0"/>
          <w:marBottom w:val="0"/>
          <w:divBdr>
            <w:top w:val="none" w:sz="0" w:space="0" w:color="auto"/>
            <w:left w:val="none" w:sz="0" w:space="0" w:color="auto"/>
            <w:bottom w:val="none" w:sz="0" w:space="0" w:color="auto"/>
            <w:right w:val="none" w:sz="0" w:space="0" w:color="auto"/>
          </w:divBdr>
        </w:div>
        <w:div w:id="171380890">
          <w:marLeft w:val="547"/>
          <w:marRight w:val="0"/>
          <w:marTop w:val="0"/>
          <w:marBottom w:val="0"/>
          <w:divBdr>
            <w:top w:val="none" w:sz="0" w:space="0" w:color="auto"/>
            <w:left w:val="none" w:sz="0" w:space="0" w:color="auto"/>
            <w:bottom w:val="none" w:sz="0" w:space="0" w:color="auto"/>
            <w:right w:val="none" w:sz="0" w:space="0" w:color="auto"/>
          </w:divBdr>
        </w:div>
        <w:div w:id="1519194498">
          <w:marLeft w:val="547"/>
          <w:marRight w:val="0"/>
          <w:marTop w:val="0"/>
          <w:marBottom w:val="0"/>
          <w:divBdr>
            <w:top w:val="none" w:sz="0" w:space="0" w:color="auto"/>
            <w:left w:val="none" w:sz="0" w:space="0" w:color="auto"/>
            <w:bottom w:val="none" w:sz="0" w:space="0" w:color="auto"/>
            <w:right w:val="none" w:sz="0" w:space="0" w:color="auto"/>
          </w:divBdr>
        </w:div>
        <w:div w:id="88205568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m03.safelinks.protection.outlook.com/?url=http%3A%2F%2Fwww.opencivitas.it&amp;data=02%7C01%7Cishcherbyna%40worldbank.org%7C9ae0a6a51b0d4a185a5208d775af537f%7C31a2fec0266b4c67b56e2796d8f59c36%7C0%7C0%7C637107268217498216&amp;sdata=3oLMft5egC04sgn0HUKDY4ijgophTPucros6iShxHio%3D&amp;reserve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mpal.org/events/joint-workshop-program-and-performance-budgeting-working-group-ppbwg-and-budget-literacy-and" TargetMode="External"/><Relationship Id="rId2" Type="http://schemas.openxmlformats.org/officeDocument/2006/relationships/hyperlink" Target="https://www.pempal.org/events/joint-workshop-program-and-performance-budgeting-working-group-ppbwg-and-budget-literacy-and" TargetMode="External"/><Relationship Id="rId1" Type="http://schemas.openxmlformats.org/officeDocument/2006/relationships/hyperlink" Target="http://www.oecd.org/gov/budgeting/performance-results-meeting-2019.htm" TargetMode="External"/><Relationship Id="rId4" Type="http://schemas.openxmlformats.org/officeDocument/2006/relationships/hyperlink" Target="https://www.oecd-ilibrary.org/docserver/gov_glance-2015-en.pdf?expires=1573822876&amp;id=id&amp;accname=guest&amp;checksum=C5E338AAEC3036162AD02F2628052AA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E9512E-F3F5-E24B-AF79-8FD2AD37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7318</Words>
  <Characters>41715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PEMPAL BCOP Working Group meetings</vt:lpstr>
    </vt:vector>
  </TitlesOfParts>
  <Manager/>
  <Company>World Bank</Company>
  <LinksUpToDate>false</LinksUpToDate>
  <CharactersWithSpaces>48936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BCOP Working Group meetings</dc:title>
  <dc:subject/>
  <dc:creator>Deanna Aubrey</dc:creator>
  <cp:keywords/>
  <dc:description/>
  <cp:lastModifiedBy>Naida Čaršimamović</cp:lastModifiedBy>
  <cp:revision>3</cp:revision>
  <cp:lastPrinted>2019-11-08T13:40:00Z</cp:lastPrinted>
  <dcterms:created xsi:type="dcterms:W3CDTF">2019-12-06T08:06:00Z</dcterms:created>
  <dcterms:modified xsi:type="dcterms:W3CDTF">2019-12-06T08:12:00Z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