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2F" w:rsidRPr="004922C3" w:rsidRDefault="00422B2F" w:rsidP="00C30BC8">
      <w:pPr>
        <w:rPr>
          <w:noProof/>
          <w:lang w:eastAsia="en-GB"/>
        </w:rPr>
        <w:sectPr w:rsidR="00422B2F" w:rsidRPr="004922C3" w:rsidSect="00C30BC8">
          <w:headerReference w:type="even" r:id="rId8"/>
          <w:footerReference w:type="default" r:id="rId9"/>
          <w:endnotePr>
            <w:numFmt w:val="decimal"/>
          </w:endnotePr>
          <w:pgSz w:w="11906" w:h="16838"/>
          <w:pgMar w:top="737" w:right="312" w:bottom="300" w:left="369" w:header="0" w:footer="0" w:gutter="0"/>
          <w:cols w:space="720"/>
          <w:titlePg/>
          <w:docGrid w:linePitch="299"/>
        </w:sectPr>
      </w:pPr>
      <w:r w:rsidRPr="004922C3">
        <w:rPr>
          <w:noProof/>
          <w:lang w:eastAsia="en-GB"/>
        </w:rPr>
        <w:fldChar w:fldCharType="begin"/>
      </w:r>
      <w:r w:rsidRPr="004922C3">
        <w:rPr>
          <w:noProof/>
          <w:lang w:eastAsia="en-GB"/>
        </w:rPr>
        <w:instrText xml:space="preserve"> MACROBUTTON InsertCVP.main  \* MERGEFORMAT</w:instrText>
      </w:r>
      <w:bookmarkStart w:id="0" w:name="_MON_1560003418"/>
      <w:bookmarkEnd w:id="0"/>
      <w:r w:rsidR="00C30BC8" w:rsidRPr="004922C3">
        <w:rPr>
          <w:noProof/>
          <w:lang w:eastAsia="en-GB"/>
        </w:rPr>
        <w:object w:dxaOrig="11096" w:dyaOrig="1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63.5pt" o:ole="">
            <v:imagedata r:id="rId10" o:title=""/>
          </v:shape>
          <o:OLEObject Type="Embed" ProgID="Word.Document.8" ShapeID="_x0000_i1025" DrawAspect="Content" ObjectID="_1560610938" r:id="rId11">
            <o:FieldCodes>\s</o:FieldCodes>
          </o:OLEObject>
        </w:object>
      </w:r>
      <w:r w:rsidRPr="004922C3">
        <w:rPr>
          <w:noProof/>
          <w:lang w:eastAsia="en-GB"/>
        </w:rPr>
        <w:instrText xml:space="preserve"> </w:instrText>
      </w:r>
      <w:r w:rsidRPr="004922C3">
        <w:rPr>
          <w:noProof/>
          <w:lang w:eastAsia="en-GB"/>
        </w:rPr>
        <w:fldChar w:fldCharType="end"/>
      </w:r>
    </w:p>
    <w:p w:rsidR="00422B2F" w:rsidRPr="004922C3" w:rsidRDefault="00422B2F" w:rsidP="009A2872">
      <w:pPr>
        <w:pStyle w:val="BodyText"/>
        <w:jc w:val="center"/>
        <w:rPr>
          <w:b/>
          <w:sz w:val="28"/>
          <w:szCs w:val="28"/>
        </w:rPr>
      </w:pPr>
      <w:r w:rsidRPr="004922C3">
        <w:rPr>
          <w:b/>
          <w:sz w:val="28"/>
          <w:szCs w:val="28"/>
        </w:rPr>
        <w:lastRenderedPageBreak/>
        <w:t>13</w:t>
      </w:r>
      <w:r w:rsidRPr="004922C3">
        <w:rPr>
          <w:b/>
          <w:sz w:val="28"/>
          <w:szCs w:val="28"/>
          <w:vertAlign w:val="superscript"/>
        </w:rPr>
        <w:t>th </w:t>
      </w:r>
      <w:r w:rsidRPr="004922C3">
        <w:rPr>
          <w:b/>
          <w:sz w:val="28"/>
          <w:szCs w:val="28"/>
        </w:rPr>
        <w:t xml:space="preserve">Annual Meeting of </w:t>
      </w:r>
      <w:r w:rsidRPr="004922C3">
        <w:rPr>
          <w:b/>
          <w:sz w:val="28"/>
          <w:szCs w:val="28"/>
        </w:rPr>
        <w:br/>
        <w:t xml:space="preserve">CENTRAL, EASTERN &amp; SOUTH-EASTERN </w:t>
      </w:r>
      <w:r w:rsidR="00401F2A" w:rsidRPr="004922C3">
        <w:rPr>
          <w:b/>
          <w:sz w:val="28"/>
          <w:szCs w:val="28"/>
        </w:rPr>
        <w:br/>
      </w:r>
      <w:r w:rsidRPr="004922C3">
        <w:rPr>
          <w:b/>
          <w:sz w:val="28"/>
          <w:szCs w:val="28"/>
        </w:rPr>
        <w:t>SENIOR BUDGET OFFICIALS (CESEE-SBO)</w:t>
      </w:r>
    </w:p>
    <w:p w:rsidR="00422B2F" w:rsidRPr="004922C3" w:rsidRDefault="00422B2F" w:rsidP="009A2872">
      <w:pPr>
        <w:spacing w:after="120"/>
        <w:jc w:val="center"/>
        <w:rPr>
          <w:rFonts w:eastAsiaTheme="majorEastAsia"/>
          <w:b/>
          <w:bCs/>
          <w:i/>
          <w:sz w:val="28"/>
          <w:szCs w:val="28"/>
        </w:rPr>
      </w:pPr>
      <w:r w:rsidRPr="004922C3">
        <w:rPr>
          <w:rFonts w:eastAsiaTheme="majorEastAsia"/>
          <w:b/>
          <w:bCs/>
          <w:i/>
          <w:sz w:val="28"/>
          <w:szCs w:val="28"/>
        </w:rPr>
        <w:t>OECD Conference Centre, Paris, France</w:t>
      </w:r>
    </w:p>
    <w:p w:rsidR="00422B2F" w:rsidRPr="004922C3" w:rsidRDefault="00422B2F" w:rsidP="009A2872">
      <w:pPr>
        <w:jc w:val="center"/>
        <w:rPr>
          <w:b/>
          <w:sz w:val="28"/>
          <w:szCs w:val="28"/>
        </w:rPr>
      </w:pPr>
      <w:r w:rsidRPr="004922C3">
        <w:rPr>
          <w:b/>
          <w:sz w:val="28"/>
          <w:szCs w:val="28"/>
        </w:rPr>
        <w:t>6-7 July 2017</w:t>
      </w:r>
    </w:p>
    <w:p w:rsidR="00422B2F" w:rsidRPr="004922C3" w:rsidRDefault="00422B2F" w:rsidP="00BE0862">
      <w:pPr>
        <w:spacing w:after="360"/>
        <w:jc w:val="center"/>
        <w:rPr>
          <w:rFonts w:ascii="Georgia" w:hAnsi="Georgia"/>
          <w:b/>
          <w:sz w:val="32"/>
          <w:szCs w:val="32"/>
        </w:rPr>
      </w:pPr>
    </w:p>
    <w:p w:rsidR="00422B2F" w:rsidRPr="004922C3" w:rsidRDefault="00422B2F" w:rsidP="00D25307">
      <w:pPr>
        <w:jc w:val="center"/>
        <w:rPr>
          <w:b/>
          <w:color w:val="095B93"/>
          <w:sz w:val="48"/>
          <w:szCs w:val="48"/>
          <w:u w:val="single"/>
        </w:rPr>
      </w:pPr>
      <w:r w:rsidRPr="004922C3">
        <w:rPr>
          <w:b/>
          <w:color w:val="095B93"/>
          <w:sz w:val="48"/>
          <w:szCs w:val="48"/>
          <w:u w:val="single"/>
        </w:rPr>
        <w:t>AGENDA</w:t>
      </w:r>
    </w:p>
    <w:p w:rsidR="00422B2F" w:rsidRPr="004922C3" w:rsidRDefault="00422B2F" w:rsidP="00D25307">
      <w:pPr>
        <w:jc w:val="center"/>
        <w:rPr>
          <w:rFonts w:ascii="Georgia" w:hAnsi="Georgia"/>
          <w:b/>
          <w:color w:val="095B93"/>
          <w:sz w:val="24"/>
          <w:szCs w:val="24"/>
          <w:u w:val="single"/>
        </w:rPr>
      </w:pPr>
    </w:p>
    <w:p w:rsidR="00422B2F" w:rsidRPr="004922C3" w:rsidRDefault="00422B2F" w:rsidP="00401F2A">
      <w:pPr>
        <w:spacing w:after="480"/>
        <w:jc w:val="center"/>
        <w:rPr>
          <w:rFonts w:ascii="Georgia" w:hAnsi="Georgia"/>
          <w:b/>
          <w:color w:val="095B93"/>
          <w:sz w:val="24"/>
          <w:szCs w:val="24"/>
          <w:u w:val="single"/>
        </w:rPr>
      </w:pPr>
      <w:r w:rsidRPr="004922C3">
        <w:rPr>
          <w:rFonts w:ascii="Georgia" w:hAnsi="Georgia"/>
          <w:b/>
          <w:color w:val="095B93"/>
          <w:sz w:val="24"/>
          <w:szCs w:val="24"/>
          <w:u w:val="single"/>
        </w:rPr>
        <w:t>Thursday, 6 July 2017</w:t>
      </w:r>
    </w:p>
    <w:p w:rsidR="00422B2F" w:rsidRPr="004922C3" w:rsidRDefault="00422B2F" w:rsidP="00CC61AB">
      <w:pPr>
        <w:tabs>
          <w:tab w:val="clear" w:pos="850"/>
          <w:tab w:val="clear" w:pos="1191"/>
          <w:tab w:val="clear" w:pos="1531"/>
          <w:tab w:val="left" w:pos="1418"/>
        </w:tabs>
        <w:spacing w:after="240"/>
        <w:rPr>
          <w:b/>
          <w:i/>
        </w:rPr>
      </w:pPr>
      <w:r w:rsidRPr="004922C3">
        <w:rPr>
          <w:b/>
          <w:i/>
        </w:rPr>
        <w:t>9:00-9:30</w:t>
      </w:r>
      <w:r w:rsidRPr="004922C3">
        <w:rPr>
          <w:b/>
          <w:i/>
        </w:rPr>
        <w:tab/>
        <w:t xml:space="preserve">Registration </w:t>
      </w:r>
    </w:p>
    <w:p w:rsidR="00422B2F" w:rsidRPr="004922C3" w:rsidRDefault="00422B2F" w:rsidP="00CC61AB">
      <w:pPr>
        <w:tabs>
          <w:tab w:val="clear" w:pos="850"/>
          <w:tab w:val="clear" w:pos="1191"/>
          <w:tab w:val="clear" w:pos="1531"/>
          <w:tab w:val="left" w:pos="1418"/>
        </w:tabs>
        <w:rPr>
          <w:b/>
        </w:rPr>
      </w:pPr>
      <w:r w:rsidRPr="004922C3">
        <w:rPr>
          <w:b/>
        </w:rPr>
        <w:t>9:30-10:00</w:t>
      </w:r>
      <w:r w:rsidRPr="004922C3">
        <w:rPr>
          <w:b/>
        </w:rPr>
        <w:tab/>
        <w:t>Opening and Welcome Remarks by Chair and OECD Secretariat</w:t>
      </w:r>
    </w:p>
    <w:p w:rsidR="00422B2F" w:rsidRPr="004922C3" w:rsidRDefault="00C30BC8" w:rsidP="00CC61AB">
      <w:pPr>
        <w:tabs>
          <w:tab w:val="clear" w:pos="850"/>
          <w:tab w:val="clear" w:pos="1191"/>
          <w:tab w:val="clear" w:pos="1531"/>
          <w:tab w:val="left" w:pos="1418"/>
        </w:tabs>
        <w:spacing w:after="240"/>
        <w:rPr>
          <w:b/>
        </w:rPr>
      </w:pPr>
      <w:r w:rsidRPr="004922C3">
        <w:rPr>
          <w:b/>
        </w:rPr>
        <w:tab/>
      </w:r>
      <w:r w:rsidR="00422B2F" w:rsidRPr="004922C3">
        <w:rPr>
          <w:b/>
        </w:rPr>
        <w:t>Delegates’ Introductions</w:t>
      </w:r>
    </w:p>
    <w:p w:rsidR="00422B2F" w:rsidRPr="004922C3" w:rsidRDefault="00422B2F" w:rsidP="00CC61AB">
      <w:pPr>
        <w:tabs>
          <w:tab w:val="clear" w:pos="850"/>
          <w:tab w:val="clear" w:pos="1191"/>
          <w:tab w:val="clear" w:pos="1531"/>
          <w:tab w:val="left" w:pos="1418"/>
        </w:tabs>
        <w:spacing w:after="120"/>
      </w:pPr>
      <w:r w:rsidRPr="004922C3">
        <w:rPr>
          <w:b/>
        </w:rPr>
        <w:t>10:00-11:00</w:t>
      </w:r>
      <w:r w:rsidRPr="004922C3">
        <w:rPr>
          <w:b/>
        </w:rPr>
        <w:tab/>
      </w:r>
      <w:r w:rsidR="002C6486" w:rsidRPr="004922C3">
        <w:rPr>
          <w:b/>
        </w:rPr>
        <w:t xml:space="preserve">SESSION 1 - </w:t>
      </w:r>
      <w:r w:rsidRPr="004922C3">
        <w:rPr>
          <w:b/>
        </w:rPr>
        <w:t>Roundtable on developments in budgeting</w:t>
      </w:r>
    </w:p>
    <w:p w:rsidR="00422B2F" w:rsidRPr="004922C3" w:rsidRDefault="00422B2F" w:rsidP="00CC61AB">
      <w:pPr>
        <w:tabs>
          <w:tab w:val="clear" w:pos="850"/>
          <w:tab w:val="clear" w:pos="1191"/>
          <w:tab w:val="clear" w:pos="1531"/>
          <w:tab w:val="left" w:pos="1418"/>
        </w:tabs>
        <w:spacing w:after="360"/>
        <w:ind w:left="1440"/>
        <w:rPr>
          <w:rFonts w:ascii="Calibri" w:hAnsi="Calibri"/>
          <w:sz w:val="24"/>
          <w:szCs w:val="24"/>
        </w:rPr>
      </w:pPr>
      <w:r w:rsidRPr="004922C3">
        <w:t>The Chair will invite Delegates to make brief presentations on specific recent budgeting and public expenditure developments in their respective countries that they would like to draw to the attention of all Delegates.</w:t>
      </w:r>
    </w:p>
    <w:p w:rsidR="00422B2F" w:rsidRPr="004922C3" w:rsidRDefault="00422B2F" w:rsidP="00CC61AB">
      <w:pPr>
        <w:tabs>
          <w:tab w:val="clear" w:pos="850"/>
          <w:tab w:val="clear" w:pos="1191"/>
          <w:tab w:val="clear" w:pos="1531"/>
          <w:tab w:val="left" w:pos="1418"/>
        </w:tabs>
        <w:spacing w:after="360"/>
        <w:rPr>
          <w:i/>
          <w:color w:val="095B93"/>
        </w:rPr>
      </w:pPr>
      <w:r w:rsidRPr="004922C3">
        <w:rPr>
          <w:b/>
          <w:i/>
          <w:color w:val="095B93"/>
        </w:rPr>
        <w:t>11:00-11:30</w:t>
      </w:r>
      <w:r w:rsidRPr="004922C3">
        <w:rPr>
          <w:i/>
          <w:color w:val="095B93"/>
        </w:rPr>
        <w:tab/>
        <w:t>Family Photo and Coffee Break</w:t>
      </w:r>
    </w:p>
    <w:p w:rsidR="00422B2F" w:rsidRPr="004922C3" w:rsidRDefault="00422B2F" w:rsidP="00CC61AB">
      <w:pPr>
        <w:tabs>
          <w:tab w:val="clear" w:pos="850"/>
          <w:tab w:val="clear" w:pos="1191"/>
          <w:tab w:val="clear" w:pos="1531"/>
          <w:tab w:val="left" w:pos="1418"/>
        </w:tabs>
        <w:spacing w:after="120"/>
        <w:ind w:left="1418" w:hanging="1418"/>
        <w:rPr>
          <w:b/>
        </w:rPr>
      </w:pPr>
      <w:r w:rsidRPr="004922C3">
        <w:rPr>
          <w:b/>
        </w:rPr>
        <w:t>11:30-13:00</w:t>
      </w:r>
      <w:r w:rsidRPr="004922C3">
        <w:rPr>
          <w:b/>
        </w:rPr>
        <w:tab/>
      </w:r>
      <w:r w:rsidR="00F632EB" w:rsidRPr="004922C3">
        <w:rPr>
          <w:b/>
        </w:rPr>
        <w:t xml:space="preserve">SESSION 2 - </w:t>
      </w:r>
      <w:r w:rsidRPr="004922C3">
        <w:rPr>
          <w:b/>
        </w:rPr>
        <w:t>Results of the OECD-PEMPAL Survey on Performance Budgeting and developing OECD Best Practices for Performance Budgeting</w:t>
      </w:r>
    </w:p>
    <w:p w:rsidR="00422B2F" w:rsidRPr="004922C3" w:rsidRDefault="00422B2F" w:rsidP="00CC61AB">
      <w:pPr>
        <w:tabs>
          <w:tab w:val="clear" w:pos="850"/>
          <w:tab w:val="clear" w:pos="1191"/>
          <w:tab w:val="clear" w:pos="1531"/>
          <w:tab w:val="left" w:pos="1418"/>
        </w:tabs>
        <w:spacing w:after="240"/>
        <w:ind w:left="1418"/>
      </w:pPr>
      <w:r w:rsidRPr="004922C3">
        <w:t>Performance budgeting is a deceptively simple concept and its successful implementation has proven elusive in many countries. The Secretariat will present a set of draft Best Practices for Performance Budgeting based on analysis of reform experiences – successes and challenges – in OECD countries, as well as discussions at the SBO and its Network on Perfor</w:t>
      </w:r>
      <w:bookmarkStart w:id="1" w:name="_GoBack"/>
      <w:bookmarkEnd w:id="1"/>
      <w:r w:rsidRPr="004922C3">
        <w:t xml:space="preserve">mance and Results. PEMPAL will present </w:t>
      </w:r>
      <w:r w:rsidR="00F632EB" w:rsidRPr="004922C3">
        <w:t xml:space="preserve">an </w:t>
      </w:r>
      <w:r w:rsidRPr="004922C3">
        <w:t xml:space="preserve">overview of Results of the OECD Performance Budgeting Survey, highlighting </w:t>
      </w:r>
      <w:r w:rsidR="00F632EB" w:rsidRPr="004922C3">
        <w:t xml:space="preserve">key </w:t>
      </w:r>
      <w:r w:rsidRPr="004922C3">
        <w:t>trends in the OECD and PEMPAL countries.</w:t>
      </w:r>
    </w:p>
    <w:p w:rsidR="00422B2F" w:rsidRPr="004922C3" w:rsidRDefault="00422B2F" w:rsidP="00CC61AB">
      <w:pPr>
        <w:tabs>
          <w:tab w:val="clear" w:pos="850"/>
          <w:tab w:val="clear" w:pos="1191"/>
          <w:tab w:val="clear" w:pos="1531"/>
          <w:tab w:val="left" w:pos="1418"/>
        </w:tabs>
        <w:spacing w:after="120"/>
        <w:ind w:left="1418" w:hanging="1276"/>
        <w:rPr>
          <w:i/>
        </w:rPr>
      </w:pPr>
      <w:r w:rsidRPr="004922C3">
        <w:rPr>
          <w:b/>
          <w:i/>
        </w:rPr>
        <w:tab/>
        <w:t>Presenters</w:t>
      </w:r>
      <w:r w:rsidRPr="004922C3">
        <w:rPr>
          <w:i/>
        </w:rPr>
        <w:t>:</w:t>
      </w:r>
    </w:p>
    <w:p w:rsidR="00422B2F" w:rsidRPr="004922C3" w:rsidRDefault="00422B2F" w:rsidP="00CC61AB">
      <w:pPr>
        <w:pStyle w:val="ListParagraph"/>
        <w:numPr>
          <w:ilvl w:val="0"/>
          <w:numId w:val="17"/>
        </w:numPr>
        <w:tabs>
          <w:tab w:val="clear" w:pos="850"/>
          <w:tab w:val="clear" w:pos="1191"/>
          <w:tab w:val="clear" w:pos="1531"/>
          <w:tab w:val="left" w:pos="1418"/>
          <w:tab w:val="left" w:pos="1560"/>
        </w:tabs>
      </w:pPr>
      <w:r w:rsidRPr="004922C3">
        <w:rPr>
          <w:b/>
        </w:rPr>
        <w:t>Ivor Beazley</w:t>
      </w:r>
      <w:r w:rsidRPr="004922C3">
        <w:t>, Senior Policy Analyst, Budgeting and Public Expenditures, Directorate for Public Governance, OECD</w:t>
      </w:r>
    </w:p>
    <w:p w:rsidR="00422B2F" w:rsidRPr="004922C3" w:rsidRDefault="00422B2F" w:rsidP="00CC61AB">
      <w:pPr>
        <w:pStyle w:val="ListParagraph"/>
        <w:numPr>
          <w:ilvl w:val="0"/>
          <w:numId w:val="17"/>
        </w:numPr>
        <w:tabs>
          <w:tab w:val="clear" w:pos="850"/>
          <w:tab w:val="clear" w:pos="1191"/>
          <w:tab w:val="clear" w:pos="1531"/>
          <w:tab w:val="left" w:pos="1418"/>
          <w:tab w:val="left" w:pos="1560"/>
        </w:tabs>
        <w:spacing w:after="360"/>
        <w:ind w:left="1916" w:hanging="357"/>
      </w:pPr>
      <w:r w:rsidRPr="004922C3">
        <w:rPr>
          <w:b/>
        </w:rPr>
        <w:t>Naida Carsimamovic</w:t>
      </w:r>
      <w:r w:rsidRPr="004922C3">
        <w:t>, World Bank Resource Expert, PEMPAL Budget Community of Practice (BCOP)</w:t>
      </w:r>
    </w:p>
    <w:p w:rsidR="00422B2F" w:rsidRPr="004922C3" w:rsidRDefault="00422B2F" w:rsidP="00CC61AB">
      <w:pPr>
        <w:tabs>
          <w:tab w:val="clear" w:pos="850"/>
          <w:tab w:val="clear" w:pos="1191"/>
          <w:tab w:val="clear" w:pos="1531"/>
          <w:tab w:val="left" w:pos="1418"/>
        </w:tabs>
        <w:spacing w:after="360"/>
        <w:rPr>
          <w:i/>
          <w:color w:val="095B93"/>
        </w:rPr>
      </w:pPr>
      <w:r w:rsidRPr="004922C3">
        <w:rPr>
          <w:b/>
          <w:i/>
          <w:color w:val="095B93"/>
        </w:rPr>
        <w:t>13:00-14:30</w:t>
      </w:r>
      <w:r w:rsidRPr="004922C3">
        <w:rPr>
          <w:i/>
          <w:color w:val="095B93"/>
        </w:rPr>
        <w:tab/>
        <w:t xml:space="preserve">Luncheon, Restaurant des Nations </w:t>
      </w:r>
    </w:p>
    <w:p w:rsidR="00AC1F2E" w:rsidRPr="004922C3" w:rsidRDefault="00AC1F2E" w:rsidP="00CC61AB">
      <w:pPr>
        <w:tabs>
          <w:tab w:val="clear" w:pos="850"/>
          <w:tab w:val="clear" w:pos="1191"/>
          <w:tab w:val="clear" w:pos="1531"/>
          <w:tab w:val="left" w:pos="1418"/>
        </w:tabs>
        <w:spacing w:after="120"/>
        <w:rPr>
          <w:b/>
        </w:rPr>
      </w:pPr>
      <w:r w:rsidRPr="004922C3">
        <w:rPr>
          <w:b/>
        </w:rPr>
        <w:br w:type="page"/>
      </w:r>
    </w:p>
    <w:p w:rsidR="00422B2F" w:rsidRPr="004922C3" w:rsidRDefault="00422B2F" w:rsidP="00CC61AB">
      <w:pPr>
        <w:tabs>
          <w:tab w:val="clear" w:pos="850"/>
          <w:tab w:val="clear" w:pos="1191"/>
          <w:tab w:val="clear" w:pos="1531"/>
          <w:tab w:val="left" w:pos="1418"/>
        </w:tabs>
        <w:spacing w:after="120"/>
        <w:rPr>
          <w:b/>
        </w:rPr>
      </w:pPr>
      <w:r w:rsidRPr="004922C3">
        <w:rPr>
          <w:b/>
        </w:rPr>
        <w:lastRenderedPageBreak/>
        <w:t>14:30-16:00</w:t>
      </w:r>
      <w:r w:rsidRPr="004922C3">
        <w:rPr>
          <w:b/>
        </w:rPr>
        <w:tab/>
      </w:r>
      <w:r w:rsidR="00F632EB" w:rsidRPr="004922C3">
        <w:rPr>
          <w:b/>
        </w:rPr>
        <w:t xml:space="preserve">SESSION 3 - </w:t>
      </w:r>
      <w:r w:rsidRPr="004922C3">
        <w:rPr>
          <w:b/>
        </w:rPr>
        <w:t>Implementing Spending Reviews: Dilemmas and Choices</w:t>
      </w:r>
    </w:p>
    <w:p w:rsidR="00422B2F" w:rsidRPr="004922C3" w:rsidRDefault="00422B2F" w:rsidP="00CC61AB">
      <w:pPr>
        <w:tabs>
          <w:tab w:val="clear" w:pos="850"/>
          <w:tab w:val="clear" w:pos="1191"/>
          <w:tab w:val="clear" w:pos="1531"/>
          <w:tab w:val="left" w:pos="1418"/>
        </w:tabs>
        <w:spacing w:after="240"/>
        <w:ind w:left="1418" w:hanging="1418"/>
      </w:pPr>
      <w:r w:rsidRPr="004922C3">
        <w:tab/>
        <w:t>This session will explore the process of introducing spending reviews, including debates on key questions such as who should conduct the review, who should oversee and steer the review, what areas should be reviewed, what the output of the review process should be, efficiency questions, and how the review could potentially be linked to other developments in modern budgeting.</w:t>
      </w:r>
    </w:p>
    <w:p w:rsidR="00422B2F" w:rsidRPr="004922C3" w:rsidRDefault="00422B2F" w:rsidP="00CC61AB">
      <w:pPr>
        <w:tabs>
          <w:tab w:val="clear" w:pos="850"/>
          <w:tab w:val="clear" w:pos="1191"/>
          <w:tab w:val="clear" w:pos="1531"/>
          <w:tab w:val="left" w:pos="1418"/>
        </w:tabs>
        <w:spacing w:after="120"/>
        <w:ind w:left="1418" w:hanging="1276"/>
        <w:rPr>
          <w:i/>
        </w:rPr>
      </w:pPr>
      <w:r w:rsidRPr="004922C3">
        <w:tab/>
      </w:r>
      <w:r w:rsidRPr="004922C3">
        <w:rPr>
          <w:b/>
          <w:i/>
        </w:rPr>
        <w:t>Presenters</w:t>
      </w:r>
      <w:r w:rsidRPr="004922C3">
        <w:rPr>
          <w:i/>
        </w:rPr>
        <w:t xml:space="preserve">: </w:t>
      </w:r>
    </w:p>
    <w:p w:rsidR="00422B2F" w:rsidRPr="004922C3" w:rsidRDefault="00422B2F" w:rsidP="00CC61AB">
      <w:pPr>
        <w:pStyle w:val="ListParagraph"/>
        <w:numPr>
          <w:ilvl w:val="0"/>
          <w:numId w:val="18"/>
        </w:numPr>
        <w:tabs>
          <w:tab w:val="clear" w:pos="850"/>
          <w:tab w:val="clear" w:pos="1191"/>
          <w:tab w:val="clear" w:pos="1531"/>
          <w:tab w:val="left" w:pos="1418"/>
        </w:tabs>
        <w:spacing w:after="240"/>
      </w:pPr>
      <w:r w:rsidRPr="004922C3">
        <w:rPr>
          <w:b/>
        </w:rPr>
        <w:t>Birgit ten Cate</w:t>
      </w:r>
      <w:r w:rsidRPr="004922C3">
        <w:t>, Deputy Head, Bureau for Strategic Analysis, Ministry of Finance, the Netherlands</w:t>
      </w:r>
    </w:p>
    <w:p w:rsidR="00422B2F" w:rsidRPr="004922C3" w:rsidRDefault="00422B2F" w:rsidP="00CC61AB">
      <w:pPr>
        <w:pStyle w:val="ListParagraph"/>
        <w:numPr>
          <w:ilvl w:val="0"/>
          <w:numId w:val="18"/>
        </w:numPr>
        <w:tabs>
          <w:tab w:val="clear" w:pos="850"/>
          <w:tab w:val="clear" w:pos="1191"/>
          <w:tab w:val="clear" w:pos="1531"/>
          <w:tab w:val="left" w:pos="1418"/>
        </w:tabs>
        <w:spacing w:after="240"/>
      </w:pPr>
      <w:r w:rsidRPr="004922C3">
        <w:rPr>
          <w:b/>
        </w:rPr>
        <w:t>Steffen Bach</w:t>
      </w:r>
      <w:r w:rsidRPr="004922C3">
        <w:t xml:space="preserve">, Deputy Head of Division, </w:t>
      </w:r>
      <w:r w:rsidRPr="004922C3">
        <w:rPr>
          <w:color w:val="000000"/>
          <w:lang w:val="en-US"/>
        </w:rPr>
        <w:t>Spending Reviews, Federal Ministry of Finance, Germany</w:t>
      </w:r>
    </w:p>
    <w:p w:rsidR="00422B2F" w:rsidRPr="004922C3" w:rsidRDefault="001E2064" w:rsidP="00CC61AB">
      <w:pPr>
        <w:pStyle w:val="ListParagraph"/>
        <w:numPr>
          <w:ilvl w:val="0"/>
          <w:numId w:val="18"/>
        </w:numPr>
        <w:tabs>
          <w:tab w:val="clear" w:pos="850"/>
          <w:tab w:val="clear" w:pos="1191"/>
          <w:tab w:val="clear" w:pos="1531"/>
          <w:tab w:val="left" w:pos="1418"/>
        </w:tabs>
        <w:spacing w:after="360"/>
      </w:pPr>
      <w:r w:rsidRPr="004922C3">
        <w:rPr>
          <w:b/>
        </w:rPr>
        <w:t>Hana Zoričić</w:t>
      </w:r>
      <w:r w:rsidR="00422B2F" w:rsidRPr="004922C3">
        <w:rPr>
          <w:b/>
        </w:rPr>
        <w:t xml:space="preserve">, </w:t>
      </w:r>
      <w:r w:rsidR="00422B2F" w:rsidRPr="004922C3">
        <w:t>Head of Department, Ministry of Finance, Croatia</w:t>
      </w:r>
    </w:p>
    <w:p w:rsidR="00422B2F" w:rsidRPr="004922C3" w:rsidRDefault="00422B2F" w:rsidP="00CC61AB">
      <w:pPr>
        <w:tabs>
          <w:tab w:val="clear" w:pos="850"/>
          <w:tab w:val="clear" w:pos="1191"/>
          <w:tab w:val="clear" w:pos="1531"/>
          <w:tab w:val="left" w:pos="1418"/>
        </w:tabs>
        <w:spacing w:after="360"/>
        <w:rPr>
          <w:i/>
          <w:color w:val="095B93"/>
        </w:rPr>
      </w:pPr>
      <w:r w:rsidRPr="004922C3">
        <w:rPr>
          <w:b/>
          <w:i/>
          <w:color w:val="095B93"/>
        </w:rPr>
        <w:t>16:00-16:30</w:t>
      </w:r>
      <w:r w:rsidRPr="004922C3">
        <w:rPr>
          <w:i/>
          <w:color w:val="095B93"/>
        </w:rPr>
        <w:tab/>
        <w:t>Coffee Break</w:t>
      </w:r>
    </w:p>
    <w:p w:rsidR="00422B2F" w:rsidRPr="004922C3" w:rsidRDefault="00422B2F" w:rsidP="00CC61AB">
      <w:pPr>
        <w:tabs>
          <w:tab w:val="clear" w:pos="850"/>
          <w:tab w:val="clear" w:pos="1191"/>
          <w:tab w:val="clear" w:pos="1531"/>
          <w:tab w:val="left" w:pos="1418"/>
        </w:tabs>
        <w:spacing w:after="240"/>
        <w:rPr>
          <w:b/>
        </w:rPr>
      </w:pPr>
      <w:r w:rsidRPr="004922C3">
        <w:rPr>
          <w:b/>
        </w:rPr>
        <w:t>16:30-18:00</w:t>
      </w:r>
      <w:r w:rsidRPr="004922C3">
        <w:rPr>
          <w:b/>
        </w:rPr>
        <w:tab/>
      </w:r>
      <w:r w:rsidR="00F632EB" w:rsidRPr="004922C3">
        <w:rPr>
          <w:b/>
        </w:rPr>
        <w:t xml:space="preserve">SESSION 4 - </w:t>
      </w:r>
      <w:r w:rsidRPr="004922C3">
        <w:rPr>
          <w:b/>
        </w:rPr>
        <w:t>Gender Budgeting</w:t>
      </w:r>
    </w:p>
    <w:p w:rsidR="00422B2F" w:rsidRPr="004922C3" w:rsidRDefault="00422B2F" w:rsidP="00CC61AB">
      <w:pPr>
        <w:tabs>
          <w:tab w:val="clear" w:pos="850"/>
          <w:tab w:val="clear" w:pos="1191"/>
          <w:tab w:val="clear" w:pos="1531"/>
        </w:tabs>
        <w:spacing w:after="240"/>
        <w:ind w:left="1440"/>
      </w:pPr>
      <w:r w:rsidRPr="004922C3">
        <w:t xml:space="preserve">Gender budgeting practices are gaining momentum. Today over a third of OECD countries report that they have introduced, or plan to introduce, gender budgeting. This session will examine key findings from </w:t>
      </w:r>
      <w:r w:rsidRPr="004922C3">
        <w:rPr>
          <w:i/>
        </w:rPr>
        <w:t>Gender Budgeting in OECD Countries</w:t>
      </w:r>
      <w:r w:rsidRPr="004922C3">
        <w:t xml:space="preserve"> and provide an opportunity for consultation on the OECD’s forthcoming </w:t>
      </w:r>
      <w:r w:rsidRPr="004922C3">
        <w:rPr>
          <w:i/>
        </w:rPr>
        <w:t>Gender Budgeting Toolkit</w:t>
      </w:r>
      <w:r w:rsidRPr="004922C3">
        <w:t xml:space="preserve"> which seeks to identify essential tools for gender budgeting, good practice examples and lessons learned from countries experience. </w:t>
      </w:r>
      <w:r w:rsidR="008640C1" w:rsidRPr="004922C3">
        <w:t>Country case studies will follow.</w:t>
      </w:r>
    </w:p>
    <w:p w:rsidR="00422B2F" w:rsidRPr="004922C3" w:rsidRDefault="00422B2F" w:rsidP="00CC61AB">
      <w:pPr>
        <w:tabs>
          <w:tab w:val="clear" w:pos="850"/>
          <w:tab w:val="clear" w:pos="1191"/>
          <w:tab w:val="clear" w:pos="1531"/>
          <w:tab w:val="left" w:pos="1418"/>
        </w:tabs>
        <w:spacing w:after="120"/>
        <w:ind w:left="1418" w:hanging="1276"/>
        <w:rPr>
          <w:i/>
        </w:rPr>
      </w:pPr>
      <w:r w:rsidRPr="004922C3">
        <w:rPr>
          <w:b/>
          <w:i/>
        </w:rPr>
        <w:tab/>
        <w:t>Presenters</w:t>
      </w:r>
      <w:r w:rsidRPr="004922C3">
        <w:rPr>
          <w:i/>
        </w:rPr>
        <w:t xml:space="preserve">: </w:t>
      </w:r>
    </w:p>
    <w:p w:rsidR="00422B2F" w:rsidRPr="004922C3" w:rsidRDefault="00422B2F" w:rsidP="00CC61AB">
      <w:pPr>
        <w:pStyle w:val="ListParagraph"/>
        <w:numPr>
          <w:ilvl w:val="0"/>
          <w:numId w:val="18"/>
        </w:numPr>
        <w:tabs>
          <w:tab w:val="clear" w:pos="850"/>
          <w:tab w:val="clear" w:pos="1191"/>
          <w:tab w:val="clear" w:pos="1531"/>
        </w:tabs>
        <w:spacing w:after="240"/>
      </w:pPr>
      <w:r w:rsidRPr="004922C3">
        <w:rPr>
          <w:b/>
        </w:rPr>
        <w:t>Scherie Nicol</w:t>
      </w:r>
      <w:r w:rsidRPr="004922C3">
        <w:t>, Policy Analyst, Budgeting and Public Expenditures, Directorate for Public Governance, OECD</w:t>
      </w:r>
    </w:p>
    <w:p w:rsidR="00422B2F" w:rsidRPr="004922C3" w:rsidRDefault="00422B2F" w:rsidP="00CC61AB">
      <w:pPr>
        <w:pStyle w:val="ListParagraph"/>
        <w:numPr>
          <w:ilvl w:val="0"/>
          <w:numId w:val="18"/>
        </w:numPr>
        <w:tabs>
          <w:tab w:val="clear" w:pos="850"/>
          <w:tab w:val="clear" w:pos="1191"/>
          <w:tab w:val="clear" w:pos="1531"/>
        </w:tabs>
        <w:spacing w:after="240"/>
      </w:pPr>
      <w:r w:rsidRPr="004922C3">
        <w:rPr>
          <w:rFonts w:eastAsia="Verdana" w:cs="Arial"/>
          <w:b/>
          <w:color w:val="000000"/>
        </w:rPr>
        <w:t xml:space="preserve">Herdis Haraldsdottir, </w:t>
      </w:r>
      <w:r w:rsidRPr="004922C3">
        <w:rPr>
          <w:rFonts w:eastAsia="Verdana" w:cs="Arial"/>
          <w:color w:val="000000"/>
        </w:rPr>
        <w:t>Head of Division, Ministry of Finance and Economic Affairs, Iceland</w:t>
      </w:r>
    </w:p>
    <w:p w:rsidR="00422B2F" w:rsidRPr="004922C3" w:rsidRDefault="00422B2F" w:rsidP="00CC61AB">
      <w:pPr>
        <w:pStyle w:val="ListParagraph"/>
        <w:numPr>
          <w:ilvl w:val="0"/>
          <w:numId w:val="18"/>
        </w:numPr>
        <w:tabs>
          <w:tab w:val="clear" w:pos="850"/>
          <w:tab w:val="clear" w:pos="1191"/>
          <w:tab w:val="clear" w:pos="1531"/>
        </w:tabs>
        <w:spacing w:after="360"/>
      </w:pPr>
      <w:r w:rsidRPr="004922C3">
        <w:rPr>
          <w:b/>
        </w:rPr>
        <w:t>Ermira Lubani</w:t>
      </w:r>
      <w:r w:rsidRPr="004922C3">
        <w:t>, Regional Project Manager, Promoting Gender Responsive Policies in South East Europe, UN Women</w:t>
      </w:r>
    </w:p>
    <w:p w:rsidR="00570E31" w:rsidRPr="004922C3" w:rsidRDefault="00570E31" w:rsidP="00CC61AB">
      <w:pPr>
        <w:pStyle w:val="ListParagraph"/>
        <w:numPr>
          <w:ilvl w:val="0"/>
          <w:numId w:val="18"/>
        </w:numPr>
        <w:tabs>
          <w:tab w:val="clear" w:pos="850"/>
          <w:tab w:val="clear" w:pos="1191"/>
          <w:tab w:val="clear" w:pos="1531"/>
        </w:tabs>
        <w:spacing w:after="360"/>
      </w:pPr>
      <w:r w:rsidRPr="004922C3">
        <w:rPr>
          <w:b/>
        </w:rPr>
        <w:t>Olena Mykhailenko</w:t>
      </w:r>
      <w:r w:rsidRPr="004922C3">
        <w:t>, Head of Section, State Budget Department, Ministry of Finance, Ukraine</w:t>
      </w:r>
    </w:p>
    <w:p w:rsidR="00422B2F" w:rsidRPr="004922C3" w:rsidRDefault="00422B2F" w:rsidP="00CC61AB">
      <w:pPr>
        <w:tabs>
          <w:tab w:val="clear" w:pos="850"/>
          <w:tab w:val="clear" w:pos="1191"/>
          <w:tab w:val="clear" w:pos="1531"/>
          <w:tab w:val="left" w:pos="1418"/>
        </w:tabs>
        <w:spacing w:after="360"/>
        <w:rPr>
          <w:i/>
          <w:color w:val="095B93"/>
        </w:rPr>
      </w:pPr>
      <w:r w:rsidRPr="004922C3">
        <w:rPr>
          <w:b/>
          <w:i/>
          <w:color w:val="095B93"/>
        </w:rPr>
        <w:t>18:00</w:t>
      </w:r>
      <w:r w:rsidRPr="004922C3">
        <w:rPr>
          <w:i/>
          <w:color w:val="095B93"/>
        </w:rPr>
        <w:tab/>
        <w:t>Welcome reception, OECD Headquarters</w:t>
      </w:r>
    </w:p>
    <w:p w:rsidR="00422B2F" w:rsidRPr="004922C3" w:rsidRDefault="00422B2F" w:rsidP="0010723E">
      <w:pPr>
        <w:spacing w:after="360"/>
        <w:rPr>
          <w:rFonts w:ascii="Georgia" w:hAnsi="Georgia"/>
          <w:b/>
          <w:color w:val="1F497D" w:themeColor="text2"/>
          <w:sz w:val="24"/>
          <w:szCs w:val="24"/>
          <w:u w:val="single"/>
        </w:rPr>
      </w:pPr>
      <w:r w:rsidRPr="004922C3">
        <w:rPr>
          <w:rFonts w:ascii="Georgia" w:hAnsi="Georgia"/>
          <w:b/>
          <w:color w:val="1F497D" w:themeColor="text2"/>
          <w:sz w:val="24"/>
          <w:szCs w:val="24"/>
          <w:u w:val="single"/>
        </w:rPr>
        <w:br w:type="page"/>
      </w:r>
    </w:p>
    <w:p w:rsidR="00422B2F" w:rsidRPr="004922C3" w:rsidRDefault="00422B2F" w:rsidP="00AD125E">
      <w:pPr>
        <w:spacing w:after="120"/>
        <w:jc w:val="center"/>
        <w:rPr>
          <w:rFonts w:ascii="Georgia" w:hAnsi="Georgia"/>
          <w:b/>
          <w:color w:val="095B93"/>
          <w:sz w:val="24"/>
          <w:szCs w:val="24"/>
          <w:u w:val="single"/>
        </w:rPr>
      </w:pPr>
      <w:r w:rsidRPr="004922C3">
        <w:rPr>
          <w:rFonts w:ascii="Georgia" w:hAnsi="Georgia"/>
          <w:b/>
          <w:color w:val="095B93"/>
          <w:sz w:val="24"/>
          <w:szCs w:val="24"/>
          <w:u w:val="single"/>
        </w:rPr>
        <w:lastRenderedPageBreak/>
        <w:t>Friday, 7 July 2017</w:t>
      </w:r>
    </w:p>
    <w:p w:rsidR="00422B2F" w:rsidRPr="004922C3" w:rsidRDefault="00422B2F" w:rsidP="00AD125E">
      <w:pPr>
        <w:spacing w:after="120"/>
        <w:jc w:val="center"/>
        <w:rPr>
          <w:rFonts w:ascii="Georgia" w:hAnsi="Georgia"/>
          <w:b/>
          <w:color w:val="095B93"/>
          <w:sz w:val="24"/>
          <w:szCs w:val="24"/>
          <w:u w:val="single"/>
        </w:rPr>
      </w:pPr>
    </w:p>
    <w:p w:rsidR="00422B2F" w:rsidRPr="004922C3" w:rsidRDefault="00422B2F" w:rsidP="00761E6D">
      <w:pPr>
        <w:pBdr>
          <w:top w:val="single" w:sz="4" w:space="1" w:color="auto"/>
          <w:left w:val="single" w:sz="4" w:space="4" w:color="auto"/>
          <w:bottom w:val="single" w:sz="4" w:space="13" w:color="auto"/>
          <w:right w:val="single" w:sz="4" w:space="4" w:color="auto"/>
        </w:pBdr>
        <w:tabs>
          <w:tab w:val="left" w:pos="1418"/>
        </w:tabs>
        <w:spacing w:before="120"/>
        <w:jc w:val="center"/>
        <w:rPr>
          <w:b/>
          <w:sz w:val="32"/>
          <w:szCs w:val="32"/>
        </w:rPr>
      </w:pPr>
      <w:r w:rsidRPr="004922C3">
        <w:rPr>
          <w:b/>
          <w:sz w:val="32"/>
          <w:szCs w:val="32"/>
        </w:rPr>
        <w:t>Symposium on</w:t>
      </w:r>
      <w:r w:rsidR="00761E6D" w:rsidRPr="004922C3">
        <w:rPr>
          <w:b/>
          <w:sz w:val="32"/>
          <w:szCs w:val="32"/>
        </w:rPr>
        <w:t xml:space="preserve"> </w:t>
      </w:r>
      <w:r w:rsidRPr="004922C3">
        <w:rPr>
          <w:b/>
          <w:sz w:val="32"/>
          <w:szCs w:val="32"/>
        </w:rPr>
        <w:t>Promoting Fiscal Transparency</w:t>
      </w:r>
    </w:p>
    <w:p w:rsidR="00761E6D" w:rsidRPr="004922C3" w:rsidRDefault="00761E6D"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rPr>
          <w:b/>
        </w:rPr>
      </w:pP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rPr>
          <w:b/>
        </w:rPr>
      </w:pPr>
      <w:r w:rsidRPr="004922C3">
        <w:rPr>
          <w:b/>
        </w:rPr>
        <w:t>9:30-10:30</w:t>
      </w:r>
      <w:r w:rsidRPr="004922C3">
        <w:rPr>
          <w:b/>
        </w:rPr>
        <w:tab/>
      </w:r>
      <w:r w:rsidR="00F632EB" w:rsidRPr="004922C3">
        <w:rPr>
          <w:b/>
        </w:rPr>
        <w:t xml:space="preserve">SESSION 5 - </w:t>
      </w:r>
      <w:r w:rsidRPr="004922C3">
        <w:rPr>
          <w:b/>
        </w:rPr>
        <w:t>Launch of the Toolkit on Budget Transparency</w:t>
      </w:r>
    </w:p>
    <w:p w:rsidR="00422B2F" w:rsidRPr="004922C3" w:rsidRDefault="00570E31"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ind w:left="1418" w:hanging="1418"/>
      </w:pPr>
      <w:r w:rsidRPr="004922C3">
        <w:tab/>
      </w:r>
      <w:r w:rsidR="00422B2F" w:rsidRPr="004922C3">
        <w:t>In 2016 the CESEE SBO contributed to discussions that informed the new Toolkit on    Budget Transparency. The Toolkit, which was developed on a collaborative basis between the OECD and the Global Initiative of Fiscal Transparency (GIFT) Network</w:t>
      </w:r>
      <w:r w:rsidR="00422B2F" w:rsidRPr="004922C3">
        <w:rPr>
          <w:rStyle w:val="FootnoteReference"/>
        </w:rPr>
        <w:footnoteReference w:id="1"/>
      </w:r>
      <w:r w:rsidR="00422B2F" w:rsidRPr="004922C3">
        <w:t xml:space="preserve">, was adopted by the G20 Anti-corruption Working Group (AWG) in Spring 2017. The launch will be followed by a forward-looking discussion of how countries can continue to push forward the budget transparency debate and frontier areas for the future. </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120"/>
        <w:ind w:left="1418" w:hanging="1418"/>
      </w:pPr>
      <w:r w:rsidRPr="004922C3">
        <w:tab/>
      </w:r>
      <w:r w:rsidRPr="004922C3">
        <w:rPr>
          <w:b/>
        </w:rPr>
        <w:t>•</w:t>
      </w:r>
      <w:r w:rsidRPr="004922C3">
        <w:rPr>
          <w:b/>
        </w:rPr>
        <w:tab/>
        <w:t>Ronnie Downes</w:t>
      </w:r>
      <w:r w:rsidRPr="004922C3">
        <w:t xml:space="preserve">, Deputy Head of Division, Budgeting and Public Expenditures, </w:t>
      </w:r>
      <w:r w:rsidRPr="004922C3">
        <w:tab/>
        <w:t>Directorate for Public Governance, OECD</w:t>
      </w:r>
    </w:p>
    <w:p w:rsidR="00C30BC8" w:rsidRPr="004922C3" w:rsidRDefault="00422B2F" w:rsidP="00C30BC8">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120"/>
        <w:ind w:left="1418" w:hanging="1418"/>
      </w:pPr>
      <w:r w:rsidRPr="004922C3">
        <w:tab/>
      </w:r>
      <w:r w:rsidRPr="004922C3">
        <w:rPr>
          <w:b/>
        </w:rPr>
        <w:t>•</w:t>
      </w:r>
      <w:r w:rsidRPr="004922C3">
        <w:rPr>
          <w:b/>
        </w:rPr>
        <w:tab/>
        <w:t>Juan Pablo Guerrero Amparán</w:t>
      </w:r>
      <w:r w:rsidRPr="004922C3">
        <w:t>,</w:t>
      </w:r>
      <w:r w:rsidRPr="004922C3">
        <w:rPr>
          <w:b/>
        </w:rPr>
        <w:t xml:space="preserve"> </w:t>
      </w:r>
      <w:r w:rsidRPr="004922C3">
        <w:t xml:space="preserve">Network Director, Global Initiative for Fiscal </w:t>
      </w:r>
      <w:r w:rsidRPr="004922C3">
        <w:tab/>
        <w:t>Transparency (GIFT)</w:t>
      </w:r>
    </w:p>
    <w:p w:rsidR="00C30BC8" w:rsidRPr="004922C3" w:rsidRDefault="00C30BC8" w:rsidP="00C30BC8">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120"/>
        <w:ind w:left="1418" w:hanging="1418"/>
      </w:pPr>
      <w:r w:rsidRPr="004922C3">
        <w:tab/>
      </w:r>
      <w:r w:rsidRPr="004922C3">
        <w:rPr>
          <w:b/>
        </w:rPr>
        <w:t>•</w:t>
      </w:r>
      <w:r w:rsidRPr="004922C3">
        <w:rPr>
          <w:b/>
        </w:rPr>
        <w:tab/>
        <w:t>Lewis Hawke</w:t>
      </w:r>
      <w:r w:rsidRPr="004922C3">
        <w:t>, Head, PEFA Secretariat</w:t>
      </w:r>
    </w:p>
    <w:p w:rsidR="00C30BC8" w:rsidRPr="004922C3" w:rsidRDefault="00C30BC8" w:rsidP="00190BB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240"/>
        <w:ind w:left="1701" w:hanging="1701"/>
      </w:pPr>
      <w:r w:rsidRPr="004922C3">
        <w:rPr>
          <w:b/>
        </w:rPr>
        <w:tab/>
        <w:t>•</w:t>
      </w:r>
      <w:r w:rsidRPr="004922C3">
        <w:rPr>
          <w:b/>
        </w:rPr>
        <w:tab/>
      </w:r>
      <w:r w:rsidR="00761E6D" w:rsidRPr="004922C3">
        <w:rPr>
          <w:b/>
        </w:rPr>
        <w:t>Vincent Tophoff</w:t>
      </w:r>
      <w:r w:rsidR="00761E6D" w:rsidRPr="004922C3">
        <w:t>, Senior Technical Manager, Global Accountancy Profession Support,    International Federation of Accountants (IFAC)</w:t>
      </w:r>
    </w:p>
    <w:p w:rsidR="00422B2F" w:rsidRPr="004922C3" w:rsidRDefault="00422B2F" w:rsidP="00190BB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240"/>
        <w:rPr>
          <w:i/>
          <w:color w:val="4F81BD" w:themeColor="accent1"/>
        </w:rPr>
      </w:pPr>
      <w:r w:rsidRPr="004922C3">
        <w:rPr>
          <w:b/>
          <w:i/>
          <w:color w:val="4F81BD" w:themeColor="accent1"/>
        </w:rPr>
        <w:t>10:30-11:00</w:t>
      </w:r>
      <w:r w:rsidRPr="004922C3">
        <w:rPr>
          <w:i/>
          <w:color w:val="4F81BD" w:themeColor="accent1"/>
        </w:rPr>
        <w:tab/>
        <w:t>Coffee Break</w:t>
      </w:r>
    </w:p>
    <w:p w:rsidR="00422B2F" w:rsidRPr="004922C3" w:rsidRDefault="00422B2F" w:rsidP="00190BB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240"/>
        <w:ind w:left="1418" w:hanging="1418"/>
        <w:rPr>
          <w:b/>
        </w:rPr>
      </w:pPr>
      <w:r w:rsidRPr="004922C3">
        <w:rPr>
          <w:b/>
        </w:rPr>
        <w:t>11:00-12:00</w:t>
      </w:r>
      <w:r w:rsidRPr="004922C3">
        <w:rPr>
          <w:b/>
        </w:rPr>
        <w:tab/>
      </w:r>
      <w:r w:rsidR="00F632EB" w:rsidRPr="004922C3">
        <w:rPr>
          <w:b/>
        </w:rPr>
        <w:t xml:space="preserve">SESSION 6 - </w:t>
      </w:r>
      <w:r w:rsidRPr="004922C3">
        <w:rPr>
          <w:b/>
        </w:rPr>
        <w:t>How are independent fiscal institutions impacting on the transparency of budgetary processes: perceptions and realities</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ind w:left="1418" w:hanging="1418"/>
      </w:pPr>
      <w:r w:rsidRPr="004922C3">
        <w:rPr>
          <w:b/>
        </w:rPr>
        <w:tab/>
      </w:r>
      <w:r w:rsidRPr="004922C3">
        <w:t>This session will examine recent research on independent fiscal institutions and the impact they are having on promoting transparency in national budget processes.</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240"/>
        <w:ind w:left="1418" w:hanging="1418"/>
      </w:pPr>
      <w:r w:rsidRPr="004922C3">
        <w:rPr>
          <w:b/>
        </w:rPr>
        <w:tab/>
        <w:t>•</w:t>
      </w:r>
      <w:r w:rsidRPr="004922C3">
        <w:rPr>
          <w:b/>
        </w:rPr>
        <w:tab/>
        <w:t>Michal Horvath</w:t>
      </w:r>
      <w:r w:rsidRPr="004922C3">
        <w:t xml:space="preserve">, Lecturer in Economics, University of York, founding Member of </w:t>
      </w:r>
      <w:r w:rsidRPr="004922C3">
        <w:tab/>
      </w:r>
      <w:r w:rsidR="00570E31" w:rsidRPr="004922C3">
        <w:br/>
      </w:r>
      <w:r w:rsidR="00570E31" w:rsidRPr="004922C3">
        <w:tab/>
      </w:r>
      <w:r w:rsidRPr="004922C3">
        <w:t>the Council for Budget Responsibility (CBR), Slovak Republic</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rPr>
          <w:b/>
        </w:rPr>
      </w:pPr>
      <w:r w:rsidRPr="004922C3">
        <w:rPr>
          <w:b/>
        </w:rPr>
        <w:t>12:00-13:00</w:t>
      </w:r>
      <w:r w:rsidRPr="004922C3">
        <w:rPr>
          <w:b/>
        </w:rPr>
        <w:tab/>
      </w:r>
      <w:r w:rsidR="00F632EB" w:rsidRPr="004922C3">
        <w:rPr>
          <w:b/>
        </w:rPr>
        <w:t xml:space="preserve">SESSION 7 - </w:t>
      </w:r>
      <w:r w:rsidRPr="004922C3">
        <w:rPr>
          <w:b/>
        </w:rPr>
        <w:t>Citizen’s budgets – enhancing public engagement</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418"/>
        </w:tabs>
        <w:spacing w:after="120"/>
        <w:ind w:left="1418" w:hanging="1418"/>
      </w:pPr>
      <w:r w:rsidRPr="004922C3">
        <w:rPr>
          <w:b/>
        </w:rPr>
        <w:tab/>
      </w:r>
      <w:r w:rsidRPr="004922C3">
        <w:t>This session will examine efforts by PEMPAL’s Working Group on Budget Literacy and Transparency to develop and promote good practices around citizen’s budgets with the aim to improve budget transparency and allow citizens to better engage with the budget process.</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120"/>
        <w:ind w:left="1418" w:hanging="1418"/>
      </w:pPr>
      <w:r w:rsidRPr="004922C3">
        <w:tab/>
        <w:t>•</w:t>
      </w:r>
      <w:r w:rsidRPr="004922C3">
        <w:tab/>
      </w:r>
      <w:r w:rsidRPr="004922C3">
        <w:rPr>
          <w:b/>
        </w:rPr>
        <w:t>Anna Belenchuk</w:t>
      </w:r>
      <w:r w:rsidRPr="004922C3">
        <w:t xml:space="preserve">, Ministry of Finance, Russian Federation, Chair, Executive </w:t>
      </w:r>
      <w:r w:rsidRPr="004922C3">
        <w:tab/>
        <w:t>Committee, PEMPAL Budget Community of Practice (BCOP)</w:t>
      </w:r>
    </w:p>
    <w:p w:rsidR="00422B2F" w:rsidRPr="004922C3" w:rsidRDefault="00422B2F" w:rsidP="00927947">
      <w:pPr>
        <w:pBdr>
          <w:top w:val="single" w:sz="4" w:space="1" w:color="auto"/>
          <w:left w:val="single" w:sz="4" w:space="4" w:color="auto"/>
          <w:bottom w:val="single" w:sz="4" w:space="13" w:color="auto"/>
          <w:right w:val="single" w:sz="4" w:space="4" w:color="auto"/>
        </w:pBdr>
        <w:tabs>
          <w:tab w:val="clear" w:pos="850"/>
          <w:tab w:val="clear" w:pos="1191"/>
          <w:tab w:val="clear" w:pos="1531"/>
          <w:tab w:val="left" w:pos="1701"/>
        </w:tabs>
        <w:spacing w:after="240"/>
        <w:ind w:left="1418" w:hanging="1418"/>
      </w:pPr>
      <w:r w:rsidRPr="004922C3">
        <w:tab/>
        <w:t>•</w:t>
      </w:r>
      <w:r w:rsidRPr="004922C3">
        <w:tab/>
      </w:r>
      <w:r w:rsidRPr="004922C3">
        <w:rPr>
          <w:b/>
        </w:rPr>
        <w:t>Maya Gusarova</w:t>
      </w:r>
      <w:r w:rsidRPr="004922C3">
        <w:t xml:space="preserve">, World Bank Senior Public Sector Specialist and Resource Expert </w:t>
      </w:r>
      <w:r w:rsidRPr="004922C3">
        <w:tab/>
      </w:r>
      <w:r w:rsidR="00570E31" w:rsidRPr="004922C3">
        <w:br/>
      </w:r>
      <w:r w:rsidR="00570E31" w:rsidRPr="004922C3">
        <w:tab/>
      </w:r>
      <w:r w:rsidRPr="004922C3">
        <w:t xml:space="preserve">for PEMPAL Budget Community of Practice (BCOP) and </w:t>
      </w:r>
      <w:r w:rsidRPr="004922C3">
        <w:rPr>
          <w:b/>
        </w:rPr>
        <w:t>Deanna Aubrey</w:t>
      </w:r>
      <w:r w:rsidRPr="004922C3">
        <w:t xml:space="preserve">, World </w:t>
      </w:r>
      <w:r w:rsidRPr="004922C3">
        <w:tab/>
        <w:t>Bank Public Finance Management Adviser for PEMPAL</w:t>
      </w:r>
    </w:p>
    <w:p w:rsidR="00422B2F" w:rsidRPr="004922C3" w:rsidRDefault="00422B2F" w:rsidP="00570E31">
      <w:pPr>
        <w:tabs>
          <w:tab w:val="clear" w:pos="850"/>
          <w:tab w:val="clear" w:pos="1191"/>
          <w:tab w:val="clear" w:pos="1531"/>
          <w:tab w:val="left" w:pos="1418"/>
        </w:tabs>
        <w:spacing w:before="360" w:after="360"/>
        <w:rPr>
          <w:i/>
          <w:color w:val="095B93"/>
        </w:rPr>
      </w:pPr>
      <w:r w:rsidRPr="004922C3">
        <w:rPr>
          <w:b/>
          <w:i/>
          <w:color w:val="095B93"/>
        </w:rPr>
        <w:lastRenderedPageBreak/>
        <w:t>13:00-14:30</w:t>
      </w:r>
      <w:r w:rsidRPr="004922C3">
        <w:rPr>
          <w:i/>
          <w:color w:val="095B93"/>
        </w:rPr>
        <w:tab/>
        <w:t>Luncheon, Restaurant des Nations</w:t>
      </w:r>
    </w:p>
    <w:p w:rsidR="00422B2F" w:rsidRPr="004922C3" w:rsidRDefault="005F2FCF" w:rsidP="00570E31">
      <w:pPr>
        <w:tabs>
          <w:tab w:val="clear" w:pos="850"/>
          <w:tab w:val="clear" w:pos="1531"/>
          <w:tab w:val="left" w:pos="1418"/>
        </w:tabs>
        <w:spacing w:after="120"/>
        <w:rPr>
          <w:b/>
        </w:rPr>
      </w:pPr>
      <w:r w:rsidRPr="004922C3">
        <w:rPr>
          <w:b/>
        </w:rPr>
        <w:t>14:30-15:0</w:t>
      </w:r>
      <w:r w:rsidR="00422B2F" w:rsidRPr="004922C3">
        <w:rPr>
          <w:b/>
        </w:rPr>
        <w:t>0</w:t>
      </w:r>
      <w:r w:rsidR="00570E31" w:rsidRPr="004922C3">
        <w:rPr>
          <w:b/>
        </w:rPr>
        <w:tab/>
      </w:r>
      <w:r w:rsidR="00422B2F" w:rsidRPr="004922C3">
        <w:rPr>
          <w:b/>
        </w:rPr>
        <w:tab/>
      </w:r>
      <w:r w:rsidR="00F632EB" w:rsidRPr="004922C3">
        <w:rPr>
          <w:b/>
        </w:rPr>
        <w:t xml:space="preserve">SESSION 8 - </w:t>
      </w:r>
      <w:r w:rsidR="00422B2F" w:rsidRPr="004922C3">
        <w:rPr>
          <w:b/>
        </w:rPr>
        <w:t>Report on Relevant Activities and Future Work</w:t>
      </w:r>
    </w:p>
    <w:p w:rsidR="00422B2F" w:rsidRPr="004922C3" w:rsidRDefault="00422B2F" w:rsidP="00570E31">
      <w:pPr>
        <w:tabs>
          <w:tab w:val="clear" w:pos="850"/>
          <w:tab w:val="clear" w:pos="1531"/>
        </w:tabs>
        <w:spacing w:after="120"/>
        <w:ind w:left="1440"/>
      </w:pPr>
      <w:r w:rsidRPr="004922C3">
        <w:t>The OECD Secretariat will provide a report on relevant activities since the last meeting of the CESEE SBO. It will also highlight the activities of the Working Party of the Senior Budget Officials and each of the SBO subsidiary bodies.</w:t>
      </w:r>
    </w:p>
    <w:p w:rsidR="00422B2F" w:rsidRPr="004922C3" w:rsidRDefault="00422B2F" w:rsidP="00570E31">
      <w:pPr>
        <w:tabs>
          <w:tab w:val="clear" w:pos="850"/>
          <w:tab w:val="clear" w:pos="1531"/>
        </w:tabs>
        <w:spacing w:after="240"/>
        <w:ind w:left="1440"/>
      </w:pPr>
      <w:r w:rsidRPr="004922C3">
        <w:t>Delegates will then be asked to identify future work priorities for the OECD’s Programme of Work in the area of budgeting and public expenditures, and indicate their interest in particular studies.</w:t>
      </w:r>
    </w:p>
    <w:p w:rsidR="00422B2F" w:rsidRPr="004922C3" w:rsidRDefault="00422B2F" w:rsidP="00570E31">
      <w:pPr>
        <w:tabs>
          <w:tab w:val="clear" w:pos="850"/>
          <w:tab w:val="clear" w:pos="1191"/>
          <w:tab w:val="clear" w:pos="1531"/>
          <w:tab w:val="left" w:pos="1418"/>
        </w:tabs>
        <w:spacing w:after="120"/>
        <w:ind w:left="1418" w:hanging="1276"/>
      </w:pPr>
      <w:r w:rsidRPr="004922C3">
        <w:rPr>
          <w:b/>
          <w:i/>
        </w:rPr>
        <w:tab/>
        <w:t>Presenter:</w:t>
      </w:r>
    </w:p>
    <w:p w:rsidR="00422B2F" w:rsidRPr="004922C3" w:rsidRDefault="00422B2F" w:rsidP="00570E31">
      <w:pPr>
        <w:pStyle w:val="ListParagraph"/>
        <w:numPr>
          <w:ilvl w:val="0"/>
          <w:numId w:val="18"/>
        </w:numPr>
        <w:tabs>
          <w:tab w:val="clear" w:pos="850"/>
          <w:tab w:val="clear" w:pos="1191"/>
          <w:tab w:val="clear" w:pos="1531"/>
          <w:tab w:val="left" w:pos="1418"/>
        </w:tabs>
        <w:spacing w:after="360"/>
        <w:ind w:left="1775" w:hanging="357"/>
        <w:rPr>
          <w:b/>
        </w:rPr>
      </w:pPr>
      <w:r w:rsidRPr="004922C3">
        <w:rPr>
          <w:b/>
        </w:rPr>
        <w:t>Jón Blöndal</w:t>
      </w:r>
      <w:r w:rsidRPr="004922C3">
        <w:t>, Head of Division, Budgeting and Public Expenditures, Directorate for Public Governance, OECD</w:t>
      </w:r>
    </w:p>
    <w:p w:rsidR="00422B2F" w:rsidRPr="004922C3" w:rsidRDefault="005F2FCF" w:rsidP="00570E31">
      <w:pPr>
        <w:tabs>
          <w:tab w:val="clear" w:pos="850"/>
          <w:tab w:val="clear" w:pos="1191"/>
          <w:tab w:val="clear" w:pos="1531"/>
          <w:tab w:val="left" w:pos="1418"/>
        </w:tabs>
        <w:spacing w:after="120"/>
        <w:rPr>
          <w:b/>
        </w:rPr>
      </w:pPr>
      <w:r w:rsidRPr="004922C3">
        <w:rPr>
          <w:b/>
        </w:rPr>
        <w:t>15:0</w:t>
      </w:r>
      <w:r w:rsidR="00422B2F" w:rsidRPr="004922C3">
        <w:rPr>
          <w:b/>
        </w:rPr>
        <w:t>0</w:t>
      </w:r>
      <w:r w:rsidR="00422B2F" w:rsidRPr="004922C3">
        <w:rPr>
          <w:b/>
        </w:rPr>
        <w:tab/>
        <w:t>Closing by Chairman and OECD Secretariat</w:t>
      </w:r>
    </w:p>
    <w:p w:rsidR="00422B2F" w:rsidRPr="004922C3" w:rsidRDefault="00422B2F" w:rsidP="006637FD">
      <w:pPr>
        <w:tabs>
          <w:tab w:val="left" w:pos="1418"/>
        </w:tabs>
        <w:spacing w:after="120"/>
        <w:rPr>
          <w:rFonts w:ascii="Calibri" w:hAnsi="Calibri"/>
          <w:b/>
          <w:bCs/>
        </w:rPr>
      </w:pPr>
      <w:r w:rsidRPr="004922C3">
        <w:rPr>
          <w:rFonts w:ascii="Calibri" w:hAnsi="Calibri" w:cs="Calibri"/>
        </w:rPr>
        <w:br w:type="page"/>
      </w:r>
    </w:p>
    <w:p w:rsidR="00422B2F" w:rsidRPr="004922C3" w:rsidRDefault="00422B2F" w:rsidP="00894708">
      <w:pPr>
        <w:tabs>
          <w:tab w:val="left" w:pos="1560"/>
        </w:tabs>
        <w:spacing w:after="360"/>
        <w:jc w:val="center"/>
        <w:rPr>
          <w:rFonts w:ascii="Calibri" w:hAnsi="Calibri"/>
          <w:b/>
          <w:bCs/>
        </w:rPr>
      </w:pPr>
      <w:r w:rsidRPr="004922C3">
        <w:rPr>
          <w:rFonts w:ascii="Calibri" w:hAnsi="Calibri"/>
          <w:b/>
          <w:bCs/>
        </w:rPr>
        <w:lastRenderedPageBreak/>
        <w:t>MEETING INFORMATION</w:t>
      </w:r>
    </w:p>
    <w:p w:rsidR="00422B2F" w:rsidRPr="004922C3" w:rsidRDefault="00422B2F" w:rsidP="00894708">
      <w:pPr>
        <w:spacing w:after="120"/>
        <w:rPr>
          <w:rFonts w:asciiTheme="minorHAnsi" w:hAnsiTheme="minorHAnsi"/>
          <w:b/>
          <w:bCs/>
        </w:rPr>
      </w:pPr>
      <w:r w:rsidRPr="004922C3">
        <w:rPr>
          <w:rFonts w:asciiTheme="minorHAnsi" w:hAnsiTheme="minorHAnsi"/>
          <w:b/>
          <w:bCs/>
        </w:rPr>
        <w:t>Accommodations</w:t>
      </w:r>
    </w:p>
    <w:p w:rsidR="00422B2F" w:rsidRPr="004922C3" w:rsidRDefault="00422B2F" w:rsidP="00927947">
      <w:pPr>
        <w:spacing w:after="240"/>
        <w:rPr>
          <w:rFonts w:asciiTheme="minorHAnsi" w:hAnsiTheme="minorHAnsi"/>
          <w:color w:val="2973BD"/>
          <w:u w:val="single"/>
        </w:rPr>
      </w:pPr>
      <w:r w:rsidRPr="004922C3">
        <w:rPr>
          <w:rFonts w:asciiTheme="minorHAnsi" w:hAnsiTheme="minorHAnsi"/>
        </w:rPr>
        <w:t xml:space="preserve">Delegates are responsible for their own accommodation. Information on hotels close to the OECD at special rates and our online booking system can be found at: </w:t>
      </w:r>
      <w:r w:rsidRPr="004922C3">
        <w:rPr>
          <w:rFonts w:asciiTheme="minorHAnsi" w:hAnsiTheme="minorHAnsi"/>
        </w:rPr>
        <w:br/>
      </w:r>
      <w:hyperlink r:id="rId12" w:history="1">
        <w:r w:rsidRPr="004922C3">
          <w:rPr>
            <w:rFonts w:asciiTheme="minorHAnsi" w:hAnsiTheme="minorHAnsi"/>
            <w:color w:val="0000FF" w:themeColor="hyperlink"/>
            <w:u w:val="single"/>
          </w:rPr>
          <w:t>http://www.oecd.org/site/conferencecentre/hotels-close-to-oecd.htm</w:t>
        </w:r>
      </w:hyperlink>
    </w:p>
    <w:p w:rsidR="00422B2F" w:rsidRPr="004922C3" w:rsidRDefault="00422B2F" w:rsidP="00894708">
      <w:pPr>
        <w:spacing w:after="120"/>
        <w:rPr>
          <w:rFonts w:asciiTheme="minorHAnsi" w:hAnsiTheme="minorHAnsi"/>
          <w:b/>
          <w:bCs/>
        </w:rPr>
      </w:pPr>
      <w:r w:rsidRPr="004922C3">
        <w:rPr>
          <w:rFonts w:asciiTheme="minorHAnsi" w:hAnsiTheme="minorHAnsi"/>
          <w:b/>
          <w:bCs/>
        </w:rPr>
        <w:t>Catering</w:t>
      </w:r>
    </w:p>
    <w:p w:rsidR="00422B2F" w:rsidRPr="004922C3" w:rsidRDefault="00422B2F" w:rsidP="00466C1D">
      <w:pPr>
        <w:spacing w:after="240"/>
        <w:rPr>
          <w:rFonts w:asciiTheme="minorHAnsi" w:hAnsiTheme="minorHAnsi"/>
          <w:b/>
        </w:rPr>
      </w:pPr>
      <w:r w:rsidRPr="004922C3">
        <w:rPr>
          <w:rFonts w:asciiTheme="minorHAnsi" w:hAnsiTheme="minorHAnsi"/>
        </w:rPr>
        <w:t>Luncheon will be served in the Restaurant des Nations located on the first floor of the Conference Centre.</w:t>
      </w:r>
    </w:p>
    <w:p w:rsidR="00422B2F" w:rsidRPr="004922C3" w:rsidRDefault="00422B2F" w:rsidP="00894708">
      <w:pPr>
        <w:spacing w:after="120"/>
        <w:rPr>
          <w:rFonts w:asciiTheme="minorHAnsi" w:hAnsiTheme="minorHAnsi"/>
          <w:b/>
          <w:bCs/>
        </w:rPr>
      </w:pPr>
      <w:r w:rsidRPr="004922C3">
        <w:rPr>
          <w:rFonts w:asciiTheme="minorHAnsi" w:hAnsiTheme="minorHAnsi"/>
          <w:b/>
          <w:bCs/>
        </w:rPr>
        <w:t>Format of Discussion</w:t>
      </w:r>
    </w:p>
    <w:p w:rsidR="00422B2F" w:rsidRPr="004922C3" w:rsidRDefault="00422B2F" w:rsidP="00466C1D">
      <w:pPr>
        <w:spacing w:after="240"/>
        <w:rPr>
          <w:rFonts w:asciiTheme="minorHAnsi" w:hAnsiTheme="minorHAnsi"/>
          <w:bCs/>
        </w:rPr>
      </w:pPr>
      <w:r w:rsidRPr="004922C3">
        <w:rPr>
          <w:rFonts w:asciiTheme="minorHAnsi" w:hAnsiTheme="minorHAnsi"/>
          <w:bCs/>
        </w:rPr>
        <w:t>Each session will open with one or more lead presentations. These should be no more than 15 minutes in length. This will be followed by several rounds of questions and comments by Delegates. Please limit each intervention to no more than 5 minutes in order to foster discussion.</w:t>
      </w:r>
    </w:p>
    <w:p w:rsidR="00422B2F" w:rsidRPr="004922C3" w:rsidRDefault="00422B2F" w:rsidP="00894708">
      <w:pPr>
        <w:spacing w:after="120"/>
        <w:rPr>
          <w:rFonts w:asciiTheme="minorHAnsi" w:hAnsiTheme="minorHAnsi"/>
          <w:b/>
          <w:bCs/>
        </w:rPr>
      </w:pPr>
      <w:r w:rsidRPr="004922C3">
        <w:rPr>
          <w:rFonts w:asciiTheme="minorHAnsi" w:hAnsiTheme="minorHAnsi"/>
          <w:b/>
          <w:bCs/>
        </w:rPr>
        <w:t>Interpretation</w:t>
      </w:r>
    </w:p>
    <w:p w:rsidR="00422B2F" w:rsidRPr="004922C3" w:rsidRDefault="00422B2F" w:rsidP="000159D2">
      <w:pPr>
        <w:spacing w:after="240"/>
        <w:rPr>
          <w:rFonts w:asciiTheme="minorHAnsi" w:hAnsiTheme="minorHAnsi"/>
          <w:bCs/>
        </w:rPr>
      </w:pPr>
      <w:r w:rsidRPr="004922C3">
        <w:rPr>
          <w:rFonts w:asciiTheme="minorHAnsi" w:hAnsiTheme="minorHAnsi"/>
          <w:bCs/>
        </w:rPr>
        <w:t>Interpretation into English, Russian and Bosnian/Croatian/Serbian will be provided.</w:t>
      </w:r>
    </w:p>
    <w:p w:rsidR="00422B2F" w:rsidRPr="004922C3" w:rsidRDefault="00422B2F" w:rsidP="00894708">
      <w:pPr>
        <w:spacing w:after="120"/>
        <w:rPr>
          <w:rFonts w:asciiTheme="minorHAnsi" w:hAnsiTheme="minorHAnsi"/>
          <w:b/>
          <w:bCs/>
        </w:rPr>
      </w:pPr>
      <w:r w:rsidRPr="004922C3">
        <w:rPr>
          <w:rFonts w:asciiTheme="minorHAnsi" w:hAnsiTheme="minorHAnsi"/>
          <w:b/>
          <w:bCs/>
        </w:rPr>
        <w:t>Meeting Location</w:t>
      </w:r>
    </w:p>
    <w:p w:rsidR="00422B2F" w:rsidRPr="004922C3" w:rsidRDefault="00422B2F" w:rsidP="00466C1D">
      <w:pPr>
        <w:spacing w:after="240"/>
        <w:rPr>
          <w:rFonts w:asciiTheme="minorHAnsi" w:hAnsiTheme="minorHAnsi"/>
          <w:color w:val="2973BD"/>
          <w:u w:val="single"/>
        </w:rPr>
      </w:pPr>
      <w:r w:rsidRPr="004922C3">
        <w:rPr>
          <w:rFonts w:asciiTheme="minorHAnsi" w:hAnsiTheme="minorHAnsi"/>
        </w:rPr>
        <w:t xml:space="preserve">The meeting will take place at the Conference Centre at OECD Headquarters – </w:t>
      </w:r>
      <w:r w:rsidRPr="004922C3">
        <w:rPr>
          <w:rFonts w:asciiTheme="minorHAnsi" w:hAnsiTheme="minorHAnsi"/>
          <w:i/>
        </w:rPr>
        <w:t xml:space="preserve">Château de la </w:t>
      </w:r>
      <w:r w:rsidR="001E2064" w:rsidRPr="004922C3">
        <w:rPr>
          <w:rFonts w:asciiTheme="minorHAnsi" w:hAnsiTheme="minorHAnsi"/>
          <w:i/>
        </w:rPr>
        <w:t xml:space="preserve">Muette </w:t>
      </w:r>
      <w:r w:rsidRPr="004922C3">
        <w:rPr>
          <w:rFonts w:asciiTheme="minorHAnsi" w:hAnsiTheme="minorHAnsi"/>
        </w:rPr>
        <w:t xml:space="preserve">– which is located at: 2, rue André Pascal in the 16th </w:t>
      </w:r>
      <w:r w:rsidRPr="004922C3">
        <w:rPr>
          <w:rFonts w:asciiTheme="minorHAnsi" w:hAnsiTheme="minorHAnsi"/>
          <w:i/>
          <w:iCs/>
        </w:rPr>
        <w:t>arrondissement</w:t>
      </w:r>
      <w:r w:rsidRPr="004922C3">
        <w:rPr>
          <w:rFonts w:asciiTheme="minorHAnsi" w:hAnsiTheme="minorHAnsi"/>
        </w:rPr>
        <w:t xml:space="preserve"> (district) of Paris. The closest metro station is </w:t>
      </w:r>
      <w:r w:rsidRPr="004922C3">
        <w:rPr>
          <w:rFonts w:asciiTheme="minorHAnsi" w:hAnsiTheme="minorHAnsi"/>
          <w:i/>
        </w:rPr>
        <w:t>“La Muette”</w:t>
      </w:r>
      <w:r w:rsidRPr="004922C3">
        <w:rPr>
          <w:rFonts w:asciiTheme="minorHAnsi" w:hAnsiTheme="minorHAnsi"/>
        </w:rPr>
        <w:t xml:space="preserve"> on line 9 or "</w:t>
      </w:r>
      <w:r w:rsidRPr="004922C3">
        <w:rPr>
          <w:rFonts w:asciiTheme="minorHAnsi" w:hAnsiTheme="minorHAnsi"/>
          <w:i/>
        </w:rPr>
        <w:t>Boulainvilliers</w:t>
      </w:r>
      <w:r w:rsidRPr="004922C3">
        <w:rPr>
          <w:rFonts w:asciiTheme="minorHAnsi" w:hAnsiTheme="minorHAnsi"/>
        </w:rPr>
        <w:t>” or “</w:t>
      </w:r>
      <w:r w:rsidRPr="004922C3">
        <w:rPr>
          <w:rFonts w:asciiTheme="minorHAnsi" w:hAnsiTheme="minorHAnsi"/>
          <w:i/>
        </w:rPr>
        <w:t>Henri Martin</w:t>
      </w:r>
      <w:r w:rsidRPr="004922C3">
        <w:rPr>
          <w:rFonts w:asciiTheme="minorHAnsi" w:hAnsiTheme="minorHAnsi"/>
        </w:rPr>
        <w:t xml:space="preserve">" on line C of the RER. More information on getting to the OECD can be found at: </w:t>
      </w:r>
      <w:r w:rsidRPr="004922C3">
        <w:rPr>
          <w:rFonts w:asciiTheme="minorHAnsi" w:hAnsiTheme="minorHAnsi"/>
        </w:rPr>
        <w:br/>
      </w:r>
      <w:hyperlink r:id="rId13" w:history="1">
        <w:r w:rsidRPr="004922C3">
          <w:rPr>
            <w:rFonts w:asciiTheme="minorHAnsi" w:hAnsiTheme="minorHAnsi"/>
            <w:color w:val="0000FF" w:themeColor="hyperlink"/>
            <w:u w:val="single"/>
          </w:rPr>
          <w:t>http://www.oecd.org/site/conferencecentre/gettingtotheoecd.htm</w:t>
        </w:r>
      </w:hyperlink>
    </w:p>
    <w:p w:rsidR="00422B2F" w:rsidRPr="004922C3" w:rsidRDefault="00422B2F" w:rsidP="00894708">
      <w:pPr>
        <w:spacing w:after="120"/>
        <w:rPr>
          <w:rFonts w:asciiTheme="minorHAnsi" w:hAnsiTheme="minorHAnsi"/>
          <w:b/>
          <w:bCs/>
        </w:rPr>
      </w:pPr>
      <w:r w:rsidRPr="004922C3">
        <w:rPr>
          <w:rFonts w:asciiTheme="minorHAnsi" w:hAnsiTheme="minorHAnsi"/>
          <w:b/>
          <w:bCs/>
        </w:rPr>
        <w:t>Registration Form</w:t>
      </w:r>
    </w:p>
    <w:p w:rsidR="00422B2F" w:rsidRPr="004922C3" w:rsidRDefault="00422B2F" w:rsidP="00466C1D">
      <w:pPr>
        <w:spacing w:after="240"/>
        <w:rPr>
          <w:rFonts w:asciiTheme="minorHAnsi" w:hAnsiTheme="minorHAnsi"/>
        </w:rPr>
      </w:pPr>
      <w:r w:rsidRPr="004922C3">
        <w:rPr>
          <w:rFonts w:asciiTheme="minorHAnsi" w:hAnsiTheme="minorHAnsi"/>
        </w:rPr>
        <w:t>All delegates must complete the registration form and return it to the Secretariat ahead of the meeting.</w:t>
      </w:r>
    </w:p>
    <w:p w:rsidR="00422B2F" w:rsidRPr="004922C3" w:rsidRDefault="00422B2F" w:rsidP="00894708">
      <w:pPr>
        <w:spacing w:after="120"/>
        <w:rPr>
          <w:rFonts w:asciiTheme="minorHAnsi" w:hAnsiTheme="minorHAnsi"/>
          <w:b/>
          <w:bCs/>
        </w:rPr>
      </w:pPr>
      <w:r w:rsidRPr="004922C3">
        <w:rPr>
          <w:rFonts w:asciiTheme="minorHAnsi" w:hAnsiTheme="minorHAnsi"/>
          <w:b/>
          <w:bCs/>
        </w:rPr>
        <w:t>Security and Badges</w:t>
      </w:r>
    </w:p>
    <w:p w:rsidR="00422B2F" w:rsidRPr="004922C3" w:rsidRDefault="00422B2F" w:rsidP="00466C1D">
      <w:pPr>
        <w:spacing w:after="240"/>
        <w:rPr>
          <w:rFonts w:asciiTheme="minorHAnsi" w:hAnsiTheme="minorHAnsi"/>
        </w:rPr>
      </w:pPr>
      <w:r w:rsidRPr="004922C3">
        <w:rPr>
          <w:rFonts w:asciiTheme="minorHAnsi" w:hAnsiTheme="minorHAnsi"/>
        </w:rPr>
        <w:t>Please be advised that OECD Headquarters is a secure complex. Badges can only be issued to registered delegates, and a passport or national identity card is required. Delegates must go to the main entrance and pass through the security checkpoint. Please allow up to 15 minutes to complete these formalities.</w:t>
      </w:r>
    </w:p>
    <w:p w:rsidR="00422B2F" w:rsidRPr="004922C3" w:rsidRDefault="00422B2F" w:rsidP="000D392B">
      <w:pPr>
        <w:spacing w:after="120"/>
        <w:rPr>
          <w:rFonts w:asciiTheme="minorHAnsi" w:hAnsiTheme="minorHAnsi"/>
          <w:b/>
          <w:bCs/>
        </w:rPr>
      </w:pPr>
      <w:r w:rsidRPr="004922C3">
        <w:rPr>
          <w:rFonts w:asciiTheme="minorHAnsi" w:hAnsiTheme="minorHAnsi"/>
          <w:b/>
          <w:bCs/>
        </w:rPr>
        <w:t>Welcome Reception</w:t>
      </w:r>
    </w:p>
    <w:p w:rsidR="00422B2F" w:rsidRPr="004922C3" w:rsidRDefault="00422B2F" w:rsidP="00466C1D">
      <w:pPr>
        <w:spacing w:after="240"/>
        <w:rPr>
          <w:rFonts w:asciiTheme="minorHAnsi" w:hAnsiTheme="minorHAnsi"/>
        </w:rPr>
      </w:pPr>
      <w:r w:rsidRPr="004922C3">
        <w:rPr>
          <w:rFonts w:asciiTheme="minorHAnsi" w:hAnsiTheme="minorHAnsi"/>
        </w:rPr>
        <w:t>All delegates are invited to a reception on the evening of the first day of the meeting, Thursday, 6 July.</w:t>
      </w:r>
    </w:p>
    <w:p w:rsidR="00422B2F" w:rsidRPr="004922C3" w:rsidRDefault="00422B2F" w:rsidP="00894708">
      <w:pPr>
        <w:spacing w:after="120"/>
        <w:rPr>
          <w:rFonts w:asciiTheme="minorHAnsi" w:hAnsiTheme="minorHAnsi"/>
          <w:b/>
          <w:bCs/>
        </w:rPr>
      </w:pPr>
      <w:r w:rsidRPr="004922C3">
        <w:rPr>
          <w:rFonts w:asciiTheme="minorHAnsi" w:hAnsiTheme="minorHAnsi"/>
          <w:b/>
          <w:bCs/>
        </w:rPr>
        <w:t>Wi-Fi Internet Access and Business Centre</w:t>
      </w:r>
    </w:p>
    <w:p w:rsidR="00422B2F" w:rsidRPr="00927947" w:rsidRDefault="00422B2F" w:rsidP="00466C1D">
      <w:pPr>
        <w:spacing w:after="240"/>
        <w:rPr>
          <w:rFonts w:asciiTheme="minorHAnsi" w:hAnsiTheme="minorHAnsi"/>
          <w:bCs/>
        </w:rPr>
      </w:pPr>
      <w:r w:rsidRPr="004922C3">
        <w:rPr>
          <w:rFonts w:asciiTheme="minorHAnsi" w:hAnsiTheme="minorHAnsi"/>
          <w:bCs/>
        </w:rPr>
        <w:t xml:space="preserve">The OECD Conference Centre features complimentary Wi-Fi Internet Access throughout its facilities. There is also a Business Centre located in the Conference Centre offering complimentary desktop </w:t>
      </w:r>
      <w:r w:rsidRPr="004922C3">
        <w:rPr>
          <w:rFonts w:asciiTheme="minorHAnsi" w:hAnsiTheme="minorHAnsi"/>
        </w:rPr>
        <w:t>computers</w:t>
      </w:r>
      <w:r w:rsidRPr="004922C3">
        <w:rPr>
          <w:rFonts w:asciiTheme="minorHAnsi" w:hAnsiTheme="minorHAnsi"/>
          <w:bCs/>
        </w:rPr>
        <w:t xml:space="preserve"> with standard Microsoft Office software, Internet connection and printers.</w:t>
      </w:r>
    </w:p>
    <w:p w:rsidR="00125645" w:rsidRPr="00927947" w:rsidRDefault="00125645" w:rsidP="00422B2F">
      <w:pPr>
        <w:pStyle w:val="BodyText"/>
        <w:rPr>
          <w:rFonts w:asciiTheme="minorHAnsi" w:hAnsiTheme="minorHAnsi"/>
        </w:rPr>
      </w:pPr>
    </w:p>
    <w:sectPr w:rsidR="00125645" w:rsidRPr="00927947" w:rsidSect="00422B2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A5" w:rsidRDefault="003402A5">
      <w:r>
        <w:separator/>
      </w:r>
    </w:p>
  </w:endnote>
  <w:endnote w:type="continuationSeparator" w:id="0">
    <w:p w:rsidR="003402A5" w:rsidRDefault="003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99724"/>
      <w:docPartObj>
        <w:docPartGallery w:val="Page Numbers (Bottom of Page)"/>
        <w:docPartUnique/>
      </w:docPartObj>
    </w:sdtPr>
    <w:sdtEndPr>
      <w:rPr>
        <w:noProof/>
      </w:rPr>
    </w:sdtEndPr>
    <w:sdtContent>
      <w:p w:rsidR="00422B2F" w:rsidRPr="00D24DB7" w:rsidRDefault="00422B2F">
        <w:pPr>
          <w:pStyle w:val="Footer"/>
          <w:jc w:val="right"/>
        </w:pPr>
        <w:r w:rsidRPr="00D24DB7">
          <w:fldChar w:fldCharType="begin"/>
        </w:r>
        <w:r w:rsidRPr="00D24DB7">
          <w:instrText xml:space="preserve"> PAGE   \* MERGEFORMAT </w:instrText>
        </w:r>
        <w:r w:rsidRPr="00D24DB7">
          <w:fldChar w:fldCharType="separate"/>
        </w:r>
        <w:r w:rsidR="00F87F85">
          <w:rPr>
            <w:noProof/>
          </w:rPr>
          <w:t>6</w:t>
        </w:r>
        <w:r w:rsidRPr="00D24DB7">
          <w:rPr>
            <w:noProof/>
          </w:rPr>
          <w:fldChar w:fldCharType="end"/>
        </w:r>
      </w:p>
    </w:sdtContent>
  </w:sdt>
  <w:p w:rsidR="00422B2F" w:rsidRDefault="0042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2F" w:rsidRDefault="00422B2F" w:rsidP="00982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2C3">
      <w:rPr>
        <w:rStyle w:val="PageNumber"/>
        <w:noProof/>
      </w:rPr>
      <w:t>2</w:t>
    </w:r>
    <w:r>
      <w:rPr>
        <w:rStyle w:val="PageNumber"/>
      </w:rPr>
      <w:fldChar w:fldCharType="end"/>
    </w:r>
  </w:p>
  <w:p w:rsidR="00125645" w:rsidRPr="00422B2F" w:rsidRDefault="00125645" w:rsidP="00422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2F" w:rsidRDefault="00422B2F" w:rsidP="0042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2C3">
      <w:rPr>
        <w:rStyle w:val="PageNumber"/>
        <w:noProof/>
      </w:rPr>
      <w:t>3</w:t>
    </w:r>
    <w:r>
      <w:rPr>
        <w:rStyle w:val="PageNumber"/>
      </w:rPr>
      <w:fldChar w:fldCharType="end"/>
    </w:r>
  </w:p>
  <w:p w:rsidR="00125645" w:rsidRPr="00422B2F" w:rsidRDefault="00125645" w:rsidP="00422B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2F" w:rsidRDefault="0042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A5" w:rsidRDefault="003402A5">
      <w:r>
        <w:separator/>
      </w:r>
    </w:p>
  </w:footnote>
  <w:footnote w:type="continuationSeparator" w:id="0">
    <w:p w:rsidR="003402A5" w:rsidRDefault="003402A5">
      <w:r>
        <w:continuationSeparator/>
      </w:r>
    </w:p>
  </w:footnote>
  <w:footnote w:id="1">
    <w:p w:rsidR="00422B2F" w:rsidRDefault="00422B2F" w:rsidP="0010723E">
      <w:pPr>
        <w:pStyle w:val="FootnoteText"/>
        <w:tabs>
          <w:tab w:val="left" w:pos="284"/>
        </w:tabs>
        <w:ind w:left="284" w:hanging="284"/>
      </w:pPr>
      <w:r>
        <w:rPr>
          <w:rStyle w:val="FootnoteReference"/>
        </w:rPr>
        <w:footnoteRef/>
      </w:r>
      <w:r>
        <w:tab/>
        <w:t>Including t</w:t>
      </w:r>
      <w:r w:rsidRPr="00692E3B">
        <w:t>he International Monetary Fund (IMF), the World Bank Group, the International Budget Partnership (IBP), the International Federation of Accountants (IFAC), and the Public Expenditure and Financial Accountability (PEFA) Pr</w:t>
      </w:r>
      <w:r>
        <w:t>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2F" w:rsidRDefault="00422B2F">
    <w:pPr>
      <w:pStyle w:val="Header"/>
      <w:rPr>
        <w:lang w:val="fr-FR"/>
      </w:rPr>
    </w:pPr>
    <w:r>
      <w:rPr>
        <w:lang w:val="fr-FR"/>
      </w:rPr>
      <w:t>GOV/PGC/SBO/A(2016)5</w:t>
    </w:r>
  </w:p>
  <w:p w:rsidR="00422B2F" w:rsidRPr="005269AB" w:rsidRDefault="00422B2F" w:rsidP="00C97ED2">
    <w:pPr>
      <w:pStyle w:val="Header"/>
      <w:spacing w:after="24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45" w:rsidRPr="00422B2F" w:rsidRDefault="00422B2F" w:rsidP="00422B2F">
    <w:pPr>
      <w:pStyle w:val="Header"/>
    </w:pPr>
    <w:r>
      <w:t>GOV/PGC/SBO/A(2017)6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45" w:rsidRPr="00422B2F" w:rsidRDefault="00422B2F" w:rsidP="00422B2F">
    <w:pPr>
      <w:pStyle w:val="Header"/>
      <w:tabs>
        <w:tab w:val="clear" w:pos="4536"/>
        <w:tab w:val="clear" w:pos="9072"/>
        <w:tab w:val="right" w:pos="9411"/>
      </w:tabs>
    </w:pPr>
    <w:r>
      <w:tab/>
      <w:t>GOV/PGC/SBO/A(2017)6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2F" w:rsidRDefault="0042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15:restartNumberingAfterBreak="0">
    <w:nsid w:val="34B839FB"/>
    <w:multiLevelType w:val="hybridMultilevel"/>
    <w:tmpl w:val="194E418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2"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5" w15:restartNumberingAfterBreak="0">
    <w:nsid w:val="5A6F0C5B"/>
    <w:multiLevelType w:val="hybridMultilevel"/>
    <w:tmpl w:val="5710696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7"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4"/>
  </w:num>
  <w:num w:numId="9">
    <w:abstractNumId w:val="16"/>
  </w:num>
  <w:num w:numId="10">
    <w:abstractNumId w:val="10"/>
  </w:num>
  <w:num w:numId="11">
    <w:abstractNumId w:val="17"/>
  </w:num>
  <w:num w:numId="12">
    <w:abstractNumId w:val="13"/>
  </w:num>
  <w:num w:numId="13">
    <w:abstractNumId w:val="1"/>
  </w:num>
  <w:num w:numId="14">
    <w:abstractNumId w:val="9"/>
  </w:num>
  <w:num w:numId="15">
    <w:abstractNumId w:val="5"/>
  </w:num>
  <w:num w:numId="16">
    <w:abstractNumId w:val="6"/>
  </w:num>
  <w:num w:numId="17">
    <w:abstractNumId w:val="15"/>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Unclassified"/>
    <w:docVar w:name="Cote" w:val="GOV/PGC/SBO/A(2017)6"/>
    <w:docVar w:name="DOCTYPE" w:val="NORMAL"/>
    <w:docVar w:name="DocumentStyle" w:val="Standard OECD document"/>
    <w:docVar w:name="IsPublication" w:val="0"/>
    <w:docVar w:name="Language" w:val="English"/>
    <w:docVar w:name="PGLANDSCAPE" w:val="0"/>
  </w:docVars>
  <w:rsids>
    <w:rsidRoot w:val="00422B2F"/>
    <w:rsid w:val="00024A3C"/>
    <w:rsid w:val="00043A04"/>
    <w:rsid w:val="00075A6C"/>
    <w:rsid w:val="00077F32"/>
    <w:rsid w:val="00080441"/>
    <w:rsid w:val="00123AD1"/>
    <w:rsid w:val="00125645"/>
    <w:rsid w:val="00190BB7"/>
    <w:rsid w:val="001C07B9"/>
    <w:rsid w:val="001E2064"/>
    <w:rsid w:val="00205BBA"/>
    <w:rsid w:val="00216CFB"/>
    <w:rsid w:val="002A6ED9"/>
    <w:rsid w:val="002C6486"/>
    <w:rsid w:val="002D4C35"/>
    <w:rsid w:val="002E7A14"/>
    <w:rsid w:val="0030014E"/>
    <w:rsid w:val="003402A5"/>
    <w:rsid w:val="003524DE"/>
    <w:rsid w:val="003A4CF3"/>
    <w:rsid w:val="003C49F9"/>
    <w:rsid w:val="00401F2A"/>
    <w:rsid w:val="00422B2F"/>
    <w:rsid w:val="004357B7"/>
    <w:rsid w:val="004922C3"/>
    <w:rsid w:val="004A2D61"/>
    <w:rsid w:val="004E1B8E"/>
    <w:rsid w:val="004E439D"/>
    <w:rsid w:val="00565A8C"/>
    <w:rsid w:val="00570E31"/>
    <w:rsid w:val="005D0C2E"/>
    <w:rsid w:val="005D4F2F"/>
    <w:rsid w:val="005E1EB0"/>
    <w:rsid w:val="005F2FCF"/>
    <w:rsid w:val="00656EB4"/>
    <w:rsid w:val="00761E6D"/>
    <w:rsid w:val="00783FC6"/>
    <w:rsid w:val="007B7800"/>
    <w:rsid w:val="007C1498"/>
    <w:rsid w:val="00821336"/>
    <w:rsid w:val="008640C1"/>
    <w:rsid w:val="008A2477"/>
    <w:rsid w:val="00925D11"/>
    <w:rsid w:val="00927947"/>
    <w:rsid w:val="00964BDA"/>
    <w:rsid w:val="009C1722"/>
    <w:rsid w:val="00A75C11"/>
    <w:rsid w:val="00AC1F2E"/>
    <w:rsid w:val="00AF4353"/>
    <w:rsid w:val="00C30BC8"/>
    <w:rsid w:val="00C328FC"/>
    <w:rsid w:val="00CA3902"/>
    <w:rsid w:val="00CC61AB"/>
    <w:rsid w:val="00D17AD5"/>
    <w:rsid w:val="00D633C2"/>
    <w:rsid w:val="00D86DE7"/>
    <w:rsid w:val="00DA0135"/>
    <w:rsid w:val="00DA2884"/>
    <w:rsid w:val="00DC7DAB"/>
    <w:rsid w:val="00E15818"/>
    <w:rsid w:val="00EA4950"/>
    <w:rsid w:val="00F267FF"/>
    <w:rsid w:val="00F632EB"/>
    <w:rsid w:val="00F87F85"/>
    <w:rsid w:val="00F965A6"/>
    <w:rsid w:val="00FA6768"/>
    <w:rsid w:val="00FC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72D30-E2CA-45BD-8151-3D214CAD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link w:val="BodyTextChar"/>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customStyle="1" w:styleId="HeaderChar">
    <w:name w:val="Header Char"/>
    <w:basedOn w:val="DefaultParagraphFont"/>
    <w:link w:val="Header"/>
    <w:uiPriority w:val="99"/>
    <w:rsid w:val="00422B2F"/>
    <w:rPr>
      <w:sz w:val="22"/>
      <w:szCs w:val="22"/>
      <w:lang w:val="en-GB" w:eastAsia="zh-CN"/>
    </w:rPr>
  </w:style>
  <w:style w:type="character" w:customStyle="1" w:styleId="FooterChar">
    <w:name w:val="Footer Char"/>
    <w:basedOn w:val="DefaultParagraphFont"/>
    <w:link w:val="Footer"/>
    <w:uiPriority w:val="99"/>
    <w:rsid w:val="00422B2F"/>
    <w:rPr>
      <w:sz w:val="22"/>
      <w:szCs w:val="22"/>
      <w:lang w:val="en-GB" w:eastAsia="zh-CN"/>
    </w:rPr>
  </w:style>
  <w:style w:type="character" w:styleId="Hyperlink">
    <w:name w:val="Hyperlink"/>
    <w:basedOn w:val="DefaultParagraphFont"/>
    <w:uiPriority w:val="99"/>
    <w:unhideWhenUsed/>
    <w:rsid w:val="00422B2F"/>
    <w:rPr>
      <w:color w:val="0000FF"/>
      <w:u w:val="single"/>
    </w:rPr>
  </w:style>
  <w:style w:type="character" w:customStyle="1" w:styleId="FootnoteTextChar">
    <w:name w:val="Footnote Text Char"/>
    <w:basedOn w:val="DefaultParagraphFont"/>
    <w:link w:val="FootnoteText"/>
    <w:uiPriority w:val="99"/>
    <w:semiHidden/>
    <w:rsid w:val="00422B2F"/>
    <w:rPr>
      <w:lang w:val="en-GB" w:eastAsia="zh-CN"/>
    </w:rPr>
  </w:style>
  <w:style w:type="character" w:customStyle="1" w:styleId="BodyTextChar">
    <w:name w:val="Body Text Char"/>
    <w:basedOn w:val="DefaultParagraphFont"/>
    <w:link w:val="BodyText"/>
    <w:rsid w:val="00422B2F"/>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ecd.org/site/conferencecentre/gettingtotheoecd.ht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ecd.org/site/conferencecentre/hotels-close-to-oecd.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ACCA3A46-7F3B-4C91-AFD5-DA46FCAF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LECONTE-LUCAS Hélène</dc:creator>
  <cp:lastModifiedBy>Ksenia Galantsova</cp:lastModifiedBy>
  <cp:revision>5</cp:revision>
  <cp:lastPrinted>2017-07-03T10:33:00Z</cp:lastPrinted>
  <dcterms:created xsi:type="dcterms:W3CDTF">2017-07-03T13:48:00Z</dcterms:created>
  <dcterms:modified xsi:type="dcterms:W3CDTF">2017-07-03T15:16:00Z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