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DB" w:rsidRDefault="005F6E86">
      <w:pPr>
        <w:spacing w:before="87" w:line="290" w:lineRule="exact"/>
        <w:ind w:left="4586" w:right="2953"/>
        <w:jc w:val="center"/>
        <w:rPr>
          <w:rFonts w:ascii="Calibri" w:eastAsia="Calibri" w:hAnsi="Calibri" w:cs="Calibri"/>
          <w:sz w:val="24"/>
          <w:szCs w:val="24"/>
        </w:rPr>
      </w:pPr>
      <w:bookmarkStart w:id="0" w:name="_GoBack"/>
      <w:bookmarkEnd w:id="0"/>
      <w:r>
        <w:rPr>
          <w:noProof/>
          <w:lang w:val="en-US" w:eastAsia="en-US" w:bidi="ar-SA"/>
        </w:rPr>
        <w:drawing>
          <wp:anchor distT="0" distB="0" distL="114300" distR="114300" simplePos="0" relativeHeight="251657728" behindDoc="0" locked="0" layoutInCell="1" allowOverlap="1">
            <wp:simplePos x="0" y="0"/>
            <wp:positionH relativeFrom="page">
              <wp:posOffset>332740</wp:posOffset>
            </wp:positionH>
            <wp:positionV relativeFrom="paragraph">
              <wp:posOffset>53340</wp:posOffset>
            </wp:positionV>
            <wp:extent cx="469900" cy="571500"/>
            <wp:effectExtent l="0" t="0" r="635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pic:spPr>
                </pic:pic>
              </a:graphicData>
            </a:graphic>
            <wp14:sizeRelH relativeFrom="page">
              <wp14:pctWidth>0</wp14:pctWidth>
            </wp14:sizeRelH>
            <wp14:sizeRelV relativeFrom="page">
              <wp14:pctHeight>0</wp14:pctHeight>
            </wp14:sizeRelV>
          </wp:anchor>
        </w:drawing>
      </w:r>
      <w:r w:rsidR="00CA4BE9">
        <w:rPr>
          <w:rFonts w:ascii="Calibri"/>
          <w:b/>
          <w:sz w:val="24"/>
        </w:rPr>
        <w:t>PEMPAL plenary meeting</w:t>
      </w:r>
    </w:p>
    <w:p w:rsidR="00915ADB" w:rsidRDefault="00CA4BE9">
      <w:pPr>
        <w:spacing w:line="290" w:lineRule="exact"/>
        <w:ind w:left="4586" w:right="2953"/>
        <w:jc w:val="center"/>
        <w:rPr>
          <w:rFonts w:ascii="Calibri" w:eastAsia="Calibri" w:hAnsi="Calibri" w:cs="Calibri"/>
          <w:sz w:val="24"/>
          <w:szCs w:val="24"/>
        </w:rPr>
      </w:pPr>
      <w:r>
        <w:rPr>
          <w:rFonts w:ascii="Calibri"/>
          <w:b/>
          <w:sz w:val="24"/>
        </w:rPr>
        <w:t>Treasury Community of Practice (TCOP)</w:t>
      </w:r>
    </w:p>
    <w:p w:rsidR="00915ADB" w:rsidRDefault="00CA4BE9">
      <w:pPr>
        <w:spacing w:before="50" w:line="576" w:lineRule="exact"/>
        <w:ind w:left="4586" w:right="2953"/>
        <w:jc w:val="center"/>
        <w:rPr>
          <w:rFonts w:ascii="Calibri" w:eastAsia="Calibri" w:hAnsi="Calibri" w:cs="Calibri"/>
          <w:sz w:val="24"/>
          <w:szCs w:val="24"/>
        </w:rPr>
      </w:pPr>
      <w:r>
        <w:rPr>
          <w:rFonts w:ascii="Calibri" w:hAnsi="Calibri"/>
          <w:b/>
          <w:sz w:val="24"/>
        </w:rPr>
        <w:t>“Development of the Treasury role and functions in the current environment” Date: 1. 3 June 2016</w:t>
      </w:r>
    </w:p>
    <w:p w:rsidR="00915ADB" w:rsidRDefault="00CA4BE9">
      <w:pPr>
        <w:spacing w:line="237" w:lineRule="exact"/>
        <w:ind w:left="4586" w:right="2949"/>
        <w:jc w:val="center"/>
        <w:rPr>
          <w:rFonts w:ascii="Calibri" w:eastAsia="Calibri" w:hAnsi="Calibri" w:cs="Calibri"/>
          <w:sz w:val="24"/>
          <w:szCs w:val="24"/>
        </w:rPr>
      </w:pPr>
      <w:r>
        <w:rPr>
          <w:rFonts w:ascii="Calibri" w:hAnsi="Calibri"/>
          <w:b/>
          <w:sz w:val="24"/>
        </w:rPr>
        <w:t>Chișinău, Moldova</w:t>
      </w:r>
    </w:p>
    <w:p w:rsidR="00915ADB" w:rsidRDefault="00915ADB">
      <w:pPr>
        <w:rPr>
          <w:rFonts w:ascii="Calibri" w:eastAsia="Calibri" w:hAnsi="Calibri" w:cs="Calibri"/>
          <w:b/>
          <w:bCs/>
          <w:sz w:val="24"/>
          <w:szCs w:val="24"/>
        </w:rPr>
      </w:pPr>
    </w:p>
    <w:p w:rsidR="00915ADB" w:rsidRDefault="00915ADB">
      <w:pPr>
        <w:rPr>
          <w:rFonts w:ascii="Calibri" w:eastAsia="Calibri" w:hAnsi="Calibri" w:cs="Calibri"/>
          <w:b/>
          <w:bCs/>
          <w:sz w:val="24"/>
          <w:szCs w:val="24"/>
        </w:rPr>
      </w:pPr>
    </w:p>
    <w:p w:rsidR="00915ADB" w:rsidRDefault="00915ADB">
      <w:pPr>
        <w:rPr>
          <w:rFonts w:ascii="Calibri" w:eastAsia="Calibri" w:hAnsi="Calibri" w:cs="Calibri"/>
          <w:b/>
          <w:bCs/>
          <w:sz w:val="24"/>
          <w:szCs w:val="24"/>
        </w:rPr>
      </w:pPr>
    </w:p>
    <w:p w:rsidR="00915ADB" w:rsidRDefault="00915ADB">
      <w:pPr>
        <w:rPr>
          <w:rFonts w:ascii="Calibri" w:eastAsia="Calibri" w:hAnsi="Calibri" w:cs="Calibri"/>
          <w:b/>
          <w:bCs/>
          <w:sz w:val="24"/>
          <w:szCs w:val="24"/>
        </w:rPr>
      </w:pPr>
    </w:p>
    <w:p w:rsidR="00915ADB" w:rsidRDefault="00CA4BE9">
      <w:pPr>
        <w:spacing w:before="156" w:line="283" w:lineRule="auto"/>
        <w:ind w:left="3163" w:right="1423"/>
        <w:jc w:val="center"/>
        <w:rPr>
          <w:rFonts w:ascii="Calibri" w:eastAsia="Calibri" w:hAnsi="Calibri" w:cs="Calibri"/>
          <w:sz w:val="64"/>
          <w:szCs w:val="64"/>
        </w:rPr>
      </w:pPr>
      <w:r>
        <w:rPr>
          <w:rFonts w:ascii="Calibri"/>
          <w:color w:val="888888"/>
          <w:sz w:val="64"/>
        </w:rPr>
        <w:t>Ministry of Finance and Treasury of Bosnia and Herzegovina</w:t>
      </w:r>
    </w:p>
    <w:p w:rsidR="00915ADB" w:rsidRDefault="00915ADB">
      <w:pPr>
        <w:rPr>
          <w:rFonts w:ascii="Calibri" w:eastAsia="Calibri" w:hAnsi="Calibri" w:cs="Calibri"/>
          <w:sz w:val="20"/>
          <w:szCs w:val="20"/>
        </w:rPr>
      </w:pPr>
    </w:p>
    <w:p w:rsidR="00915ADB" w:rsidRDefault="00915ADB">
      <w:pPr>
        <w:rPr>
          <w:rFonts w:ascii="Calibri" w:eastAsia="Calibri" w:hAnsi="Calibri" w:cs="Calibri"/>
          <w:sz w:val="20"/>
          <w:szCs w:val="20"/>
        </w:rPr>
      </w:pPr>
    </w:p>
    <w:p w:rsidR="00915ADB" w:rsidRDefault="00915ADB">
      <w:pPr>
        <w:rPr>
          <w:rFonts w:ascii="Calibri" w:eastAsia="Calibri" w:hAnsi="Calibri" w:cs="Calibri"/>
          <w:sz w:val="20"/>
          <w:szCs w:val="20"/>
        </w:rPr>
      </w:pPr>
    </w:p>
    <w:p w:rsidR="00915ADB" w:rsidRDefault="00915ADB">
      <w:pPr>
        <w:rPr>
          <w:rFonts w:ascii="Calibri" w:eastAsia="Calibri" w:hAnsi="Calibri" w:cs="Calibri"/>
          <w:sz w:val="20"/>
          <w:szCs w:val="20"/>
        </w:rPr>
      </w:pPr>
    </w:p>
    <w:p w:rsidR="00915ADB" w:rsidRDefault="00915ADB">
      <w:pPr>
        <w:rPr>
          <w:rFonts w:ascii="Calibri" w:eastAsia="Calibri" w:hAnsi="Calibri" w:cs="Calibri"/>
          <w:sz w:val="20"/>
          <w:szCs w:val="20"/>
        </w:rPr>
      </w:pPr>
    </w:p>
    <w:p w:rsidR="00915ADB" w:rsidRDefault="00915ADB">
      <w:pPr>
        <w:rPr>
          <w:rFonts w:ascii="Calibri" w:eastAsia="Calibri" w:hAnsi="Calibri" w:cs="Calibri"/>
          <w:sz w:val="20"/>
          <w:szCs w:val="20"/>
        </w:rPr>
      </w:pPr>
    </w:p>
    <w:p w:rsidR="00915ADB" w:rsidRDefault="00915ADB">
      <w:pPr>
        <w:rPr>
          <w:rFonts w:ascii="Calibri" w:eastAsia="Calibri" w:hAnsi="Calibri" w:cs="Calibri"/>
          <w:sz w:val="20"/>
          <w:szCs w:val="20"/>
        </w:rPr>
      </w:pPr>
    </w:p>
    <w:p w:rsidR="00915ADB" w:rsidRDefault="00915ADB">
      <w:pPr>
        <w:spacing w:before="6"/>
        <w:rPr>
          <w:rFonts w:ascii="Calibri" w:eastAsia="Calibri" w:hAnsi="Calibri" w:cs="Calibri"/>
          <w:sz w:val="24"/>
          <w:szCs w:val="24"/>
        </w:rPr>
      </w:pPr>
    </w:p>
    <w:p w:rsidR="00915ADB" w:rsidRDefault="00915ADB">
      <w:pPr>
        <w:rPr>
          <w:rFonts w:ascii="Calibri" w:eastAsia="Calibri" w:hAnsi="Calibri" w:cs="Calibri"/>
          <w:sz w:val="24"/>
          <w:szCs w:val="24"/>
        </w:rPr>
        <w:sectPr w:rsidR="00915ADB">
          <w:type w:val="continuous"/>
          <w:pgSz w:w="14400" w:h="10800" w:orient="landscape"/>
          <w:pgMar w:top="780" w:right="2060" w:bottom="280" w:left="420" w:header="720" w:footer="720" w:gutter="0"/>
          <w:cols w:space="720"/>
        </w:sectPr>
      </w:pPr>
    </w:p>
    <w:p w:rsidR="00915ADB" w:rsidRDefault="003368E0">
      <w:pPr>
        <w:spacing w:before="51" w:line="290" w:lineRule="exact"/>
        <w:ind w:left="1980" w:right="467"/>
        <w:jc w:val="center"/>
        <w:rPr>
          <w:rFonts w:ascii="Calibri" w:eastAsia="Calibri" w:hAnsi="Calibri" w:cs="Calibri"/>
          <w:sz w:val="24"/>
          <w:szCs w:val="24"/>
        </w:rPr>
      </w:pPr>
      <w:r>
        <w:rPr>
          <w:rFonts w:ascii="Calibri"/>
          <w:sz w:val="24"/>
        </w:rPr>
        <w:lastRenderedPageBreak/>
        <w:t>Olivera Korać</w:t>
      </w:r>
    </w:p>
    <w:p w:rsidR="00915ADB" w:rsidRDefault="00CA4BE9">
      <w:pPr>
        <w:spacing w:line="288" w:lineRule="exact"/>
        <w:ind w:left="1983" w:right="467"/>
        <w:jc w:val="center"/>
        <w:rPr>
          <w:rFonts w:ascii="Calibri" w:eastAsia="Calibri" w:hAnsi="Calibri" w:cs="Calibri"/>
          <w:sz w:val="24"/>
          <w:szCs w:val="24"/>
        </w:rPr>
      </w:pPr>
      <w:r>
        <w:rPr>
          <w:rFonts w:ascii="Calibri" w:hAnsi="Calibri"/>
          <w:sz w:val="24"/>
        </w:rPr>
        <w:t>Senior expert associate for cash flow</w:t>
      </w:r>
      <w:r w:rsidR="003368E0">
        <w:rPr>
          <w:rFonts w:ascii="Calibri" w:hAnsi="Calibri"/>
          <w:sz w:val="24"/>
        </w:rPr>
        <w:t xml:space="preserve"> management</w:t>
      </w:r>
    </w:p>
    <w:p w:rsidR="00915ADB" w:rsidRDefault="003368E0" w:rsidP="003368E0">
      <w:pPr>
        <w:spacing w:before="51" w:line="290" w:lineRule="exact"/>
        <w:ind w:right="143"/>
        <w:rPr>
          <w:rFonts w:ascii="Calibri" w:eastAsia="Calibri" w:hAnsi="Calibri" w:cs="Calibri"/>
          <w:sz w:val="24"/>
          <w:szCs w:val="24"/>
        </w:rPr>
      </w:pPr>
      <w:r>
        <w:rPr>
          <w:rFonts w:ascii="Calibri"/>
          <w:sz w:val="24"/>
        </w:rPr>
        <w:lastRenderedPageBreak/>
        <w:t xml:space="preserve">                                                    </w:t>
      </w:r>
      <w:r w:rsidR="00CA4BE9">
        <w:rPr>
          <w:rFonts w:ascii="Calibri" w:hAnsi="Calibri"/>
          <w:sz w:val="24"/>
        </w:rPr>
        <w:t>Nada Škrkar</w:t>
      </w:r>
    </w:p>
    <w:p w:rsidR="00915ADB" w:rsidRDefault="00CA4BE9">
      <w:pPr>
        <w:spacing w:line="290" w:lineRule="exact"/>
        <w:ind w:left="1020" w:right="149"/>
        <w:jc w:val="center"/>
        <w:rPr>
          <w:rFonts w:ascii="Calibri" w:eastAsia="Calibri" w:hAnsi="Calibri" w:cs="Calibri"/>
          <w:sz w:val="24"/>
          <w:szCs w:val="24"/>
        </w:rPr>
      </w:pPr>
      <w:r>
        <w:rPr>
          <w:rFonts w:ascii="Calibri" w:hAnsi="Calibri"/>
          <w:sz w:val="24"/>
        </w:rPr>
        <w:t>Expert associate for database administration</w:t>
      </w:r>
    </w:p>
    <w:p w:rsidR="00915ADB" w:rsidRDefault="00915ADB">
      <w:pPr>
        <w:spacing w:line="290" w:lineRule="exact"/>
        <w:jc w:val="center"/>
        <w:rPr>
          <w:rFonts w:ascii="Calibri" w:eastAsia="Calibri" w:hAnsi="Calibri" w:cs="Calibri"/>
          <w:sz w:val="24"/>
          <w:szCs w:val="24"/>
        </w:rPr>
        <w:sectPr w:rsidR="00915ADB">
          <w:type w:val="continuous"/>
          <w:pgSz w:w="14400" w:h="10800" w:orient="landscape"/>
          <w:pgMar w:top="780" w:right="2060" w:bottom="280" w:left="420" w:header="720" w:footer="720" w:gutter="0"/>
          <w:cols w:num="2" w:space="720" w:equalWidth="0">
            <w:col w:w="5837" w:space="40"/>
            <w:col w:w="6043"/>
          </w:cols>
        </w:sectPr>
      </w:pPr>
    </w:p>
    <w:p w:rsidR="00915ADB" w:rsidRDefault="00CA4BE9">
      <w:pPr>
        <w:tabs>
          <w:tab w:val="left" w:pos="7238"/>
        </w:tabs>
        <w:spacing w:before="13"/>
        <w:ind w:left="109"/>
        <w:rPr>
          <w:rFonts w:ascii="Calibri" w:eastAsia="Calibri" w:hAnsi="Calibri" w:cs="Calibri"/>
          <w:sz w:val="88"/>
          <w:szCs w:val="88"/>
        </w:rPr>
      </w:pPr>
      <w:r>
        <w:rPr>
          <w:noProof/>
          <w:position w:val="-12"/>
          <w:lang w:val="en-US" w:eastAsia="en-US" w:bidi="ar-SA"/>
        </w:rPr>
        <w:lastRenderedPageBreak/>
        <w:drawing>
          <wp:inline distT="0" distB="0" distL="0" distR="0">
            <wp:extent cx="469900" cy="571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69900" cy="571500"/>
                    </a:xfrm>
                    <a:prstGeom prst="rect">
                      <a:avLst/>
                    </a:prstGeom>
                  </pic:spPr>
                </pic:pic>
              </a:graphicData>
            </a:graphic>
          </wp:inline>
        </w:drawing>
      </w:r>
      <w:r>
        <w:rPr>
          <w:rFonts w:ascii="Times New Roman"/>
          <w:sz w:val="20"/>
        </w:rPr>
        <w:t xml:space="preserve">                           </w:t>
      </w:r>
      <w:r w:rsidR="003368E0">
        <w:rPr>
          <w:rFonts w:ascii="Times New Roman"/>
          <w:sz w:val="20"/>
        </w:rPr>
        <w:t xml:space="preserve">            </w:t>
      </w:r>
      <w:r>
        <w:rPr>
          <w:rFonts w:ascii="Calibri"/>
          <w:sz w:val="88"/>
        </w:rPr>
        <w:t>Treasury</w:t>
      </w:r>
      <w:r w:rsidR="003368E0">
        <w:t xml:space="preserve">   </w:t>
      </w:r>
      <w:r>
        <w:rPr>
          <w:rFonts w:ascii="Calibri"/>
          <w:sz w:val="88"/>
        </w:rPr>
        <w:t>background</w:t>
      </w:r>
    </w:p>
    <w:p w:rsidR="00915ADB" w:rsidRDefault="00915ADB">
      <w:pPr>
        <w:rPr>
          <w:rFonts w:ascii="Calibri" w:eastAsia="Calibri" w:hAnsi="Calibri" w:cs="Calibri"/>
          <w:sz w:val="20"/>
          <w:szCs w:val="20"/>
        </w:rPr>
      </w:pPr>
    </w:p>
    <w:p w:rsidR="00915ADB" w:rsidRDefault="00915ADB">
      <w:pPr>
        <w:spacing w:before="9"/>
        <w:rPr>
          <w:rFonts w:ascii="Calibri" w:eastAsia="Calibri" w:hAnsi="Calibri" w:cs="Calibri"/>
          <w:sz w:val="27"/>
          <w:szCs w:val="27"/>
        </w:rPr>
      </w:pPr>
    </w:p>
    <w:p w:rsidR="00915ADB" w:rsidRDefault="003368E0">
      <w:pPr>
        <w:pStyle w:val="Heading3"/>
        <w:numPr>
          <w:ilvl w:val="0"/>
          <w:numId w:val="1"/>
        </w:numPr>
        <w:tabs>
          <w:tab w:val="left" w:pos="1007"/>
        </w:tabs>
        <w:spacing w:before="32" w:line="581" w:lineRule="exact"/>
        <w:ind w:hanging="542"/>
      </w:pPr>
      <w:r>
        <w:t xml:space="preserve">Ministry of the Treasury </w:t>
      </w:r>
      <w:r w:rsidR="00CA4BE9">
        <w:t>Institutions of Bosnia and Herzegovina (2000)</w:t>
      </w:r>
    </w:p>
    <w:p w:rsidR="00915ADB" w:rsidRDefault="00CA4BE9">
      <w:pPr>
        <w:pStyle w:val="ListParagraph"/>
        <w:numPr>
          <w:ilvl w:val="0"/>
          <w:numId w:val="1"/>
        </w:numPr>
        <w:tabs>
          <w:tab w:val="left" w:pos="1007"/>
        </w:tabs>
        <w:spacing w:line="576" w:lineRule="exact"/>
        <w:ind w:hanging="542"/>
        <w:rPr>
          <w:rFonts w:ascii="Calibri" w:eastAsia="Calibri" w:hAnsi="Calibri" w:cs="Calibri"/>
          <w:sz w:val="48"/>
          <w:szCs w:val="48"/>
        </w:rPr>
      </w:pPr>
      <w:r>
        <w:rPr>
          <w:rFonts w:ascii="Calibri"/>
          <w:sz w:val="48"/>
        </w:rPr>
        <w:t>Ministry of Finance and the Treasury (2003)</w:t>
      </w:r>
    </w:p>
    <w:p w:rsidR="00915ADB" w:rsidRDefault="00CA4BE9">
      <w:pPr>
        <w:pStyle w:val="ListParagraph"/>
        <w:numPr>
          <w:ilvl w:val="0"/>
          <w:numId w:val="1"/>
        </w:numPr>
        <w:tabs>
          <w:tab w:val="left" w:pos="1007"/>
        </w:tabs>
        <w:spacing w:line="576" w:lineRule="exact"/>
        <w:ind w:hanging="542"/>
        <w:rPr>
          <w:rFonts w:ascii="Calibri" w:eastAsia="Calibri" w:hAnsi="Calibri" w:cs="Calibri"/>
          <w:sz w:val="48"/>
          <w:szCs w:val="48"/>
        </w:rPr>
      </w:pPr>
      <w:r>
        <w:rPr>
          <w:rFonts w:ascii="Calibri"/>
          <w:sz w:val="48"/>
        </w:rPr>
        <w:t>The Treasury is part of the Ministry of Finance</w:t>
      </w:r>
    </w:p>
    <w:p w:rsidR="00915ADB" w:rsidRDefault="00CA4BE9">
      <w:pPr>
        <w:pStyle w:val="ListParagraph"/>
        <w:numPr>
          <w:ilvl w:val="0"/>
          <w:numId w:val="1"/>
        </w:numPr>
        <w:tabs>
          <w:tab w:val="left" w:pos="1007"/>
        </w:tabs>
        <w:spacing w:line="576" w:lineRule="exact"/>
        <w:ind w:hanging="542"/>
        <w:rPr>
          <w:rFonts w:ascii="Calibri" w:eastAsia="Calibri" w:hAnsi="Calibri" w:cs="Calibri"/>
          <w:sz w:val="48"/>
          <w:szCs w:val="48"/>
        </w:rPr>
      </w:pPr>
      <w:r>
        <w:rPr>
          <w:rFonts w:ascii="Calibri" w:hAnsi="Calibri"/>
          <w:sz w:val="48"/>
        </w:rPr>
        <w:t>5 internal organisation units:</w:t>
      </w:r>
    </w:p>
    <w:p w:rsidR="00915ADB" w:rsidRDefault="00CA4BE9">
      <w:pPr>
        <w:pStyle w:val="ListParagraph"/>
        <w:numPr>
          <w:ilvl w:val="1"/>
          <w:numId w:val="1"/>
        </w:numPr>
        <w:tabs>
          <w:tab w:val="left" w:pos="1636"/>
        </w:tabs>
        <w:spacing w:line="406" w:lineRule="exact"/>
        <w:ind w:hanging="451"/>
        <w:rPr>
          <w:rFonts w:ascii="Calibri" w:eastAsia="Calibri" w:hAnsi="Calibri" w:cs="Calibri"/>
          <w:sz w:val="34"/>
          <w:szCs w:val="34"/>
        </w:rPr>
      </w:pPr>
      <w:r>
        <w:rPr>
          <w:rFonts w:ascii="Calibri" w:hAnsi="Calibri"/>
          <w:sz w:val="34"/>
        </w:rPr>
        <w:t>Treasury Single Account Management Department</w:t>
      </w:r>
    </w:p>
    <w:p w:rsidR="00915ADB" w:rsidRDefault="00CA4BE9">
      <w:pPr>
        <w:pStyle w:val="ListParagraph"/>
        <w:numPr>
          <w:ilvl w:val="1"/>
          <w:numId w:val="1"/>
        </w:numPr>
        <w:tabs>
          <w:tab w:val="left" w:pos="1636"/>
        </w:tabs>
        <w:spacing w:line="408" w:lineRule="exact"/>
        <w:ind w:hanging="451"/>
        <w:rPr>
          <w:rFonts w:ascii="Calibri" w:eastAsia="Calibri" w:hAnsi="Calibri" w:cs="Calibri"/>
          <w:sz w:val="34"/>
          <w:szCs w:val="34"/>
        </w:rPr>
      </w:pPr>
      <w:r>
        <w:rPr>
          <w:rFonts w:ascii="Calibri"/>
          <w:sz w:val="34"/>
        </w:rPr>
        <w:t>Treasury General Ledger Department</w:t>
      </w:r>
    </w:p>
    <w:p w:rsidR="00915ADB" w:rsidRDefault="00CA4BE9">
      <w:pPr>
        <w:pStyle w:val="ListParagraph"/>
        <w:numPr>
          <w:ilvl w:val="1"/>
          <w:numId w:val="1"/>
        </w:numPr>
        <w:tabs>
          <w:tab w:val="left" w:pos="1636"/>
        </w:tabs>
        <w:spacing w:line="408" w:lineRule="exact"/>
        <w:ind w:hanging="451"/>
        <w:rPr>
          <w:rFonts w:ascii="Calibri" w:eastAsia="Calibri" w:hAnsi="Calibri" w:cs="Calibri"/>
          <w:sz w:val="34"/>
          <w:szCs w:val="34"/>
        </w:rPr>
      </w:pPr>
      <w:r>
        <w:rPr>
          <w:rFonts w:ascii="Calibri"/>
          <w:sz w:val="34"/>
        </w:rPr>
        <w:t>Information System Management Department</w:t>
      </w:r>
    </w:p>
    <w:p w:rsidR="00915ADB" w:rsidRDefault="003368E0">
      <w:pPr>
        <w:pStyle w:val="ListParagraph"/>
        <w:numPr>
          <w:ilvl w:val="1"/>
          <w:numId w:val="1"/>
        </w:numPr>
        <w:tabs>
          <w:tab w:val="left" w:pos="1636"/>
        </w:tabs>
        <w:spacing w:line="408" w:lineRule="exact"/>
        <w:ind w:hanging="451"/>
        <w:rPr>
          <w:rFonts w:ascii="Calibri" w:eastAsia="Calibri" w:hAnsi="Calibri" w:cs="Calibri"/>
          <w:sz w:val="34"/>
          <w:szCs w:val="34"/>
        </w:rPr>
      </w:pPr>
      <w:r>
        <w:rPr>
          <w:rFonts w:ascii="Calibri" w:hAnsi="Calibri"/>
          <w:sz w:val="34"/>
        </w:rPr>
        <w:t>Dec</w:t>
      </w:r>
      <w:r w:rsidR="00CA4BE9">
        <w:rPr>
          <w:rFonts w:ascii="Calibri" w:hAnsi="Calibri"/>
          <w:sz w:val="34"/>
        </w:rPr>
        <w:t>entralised Payroll Department</w:t>
      </w:r>
    </w:p>
    <w:p w:rsidR="00915ADB" w:rsidRDefault="00CA4BE9">
      <w:pPr>
        <w:pStyle w:val="ListParagraph"/>
        <w:numPr>
          <w:ilvl w:val="1"/>
          <w:numId w:val="1"/>
        </w:numPr>
        <w:tabs>
          <w:tab w:val="left" w:pos="1636"/>
        </w:tabs>
        <w:spacing w:line="409" w:lineRule="exact"/>
        <w:ind w:hanging="451"/>
        <w:rPr>
          <w:rFonts w:ascii="Calibri" w:eastAsia="Calibri" w:hAnsi="Calibri" w:cs="Calibri"/>
          <w:sz w:val="34"/>
          <w:szCs w:val="34"/>
        </w:rPr>
      </w:pPr>
      <w:r>
        <w:rPr>
          <w:rFonts w:ascii="Calibri" w:hAnsi="Calibri"/>
          <w:sz w:val="34"/>
        </w:rPr>
        <w:t>National Fund Operations Department</w:t>
      </w:r>
    </w:p>
    <w:p w:rsidR="00915ADB" w:rsidRDefault="00CA4BE9">
      <w:pPr>
        <w:pStyle w:val="ListParagraph"/>
        <w:numPr>
          <w:ilvl w:val="0"/>
          <w:numId w:val="1"/>
        </w:numPr>
        <w:tabs>
          <w:tab w:val="left" w:pos="1007"/>
        </w:tabs>
        <w:spacing w:line="521" w:lineRule="exact"/>
        <w:ind w:hanging="542"/>
        <w:rPr>
          <w:rFonts w:ascii="Calibri" w:eastAsia="Calibri" w:hAnsi="Calibri" w:cs="Calibri"/>
          <w:sz w:val="48"/>
          <w:szCs w:val="48"/>
        </w:rPr>
      </w:pPr>
      <w:r>
        <w:rPr>
          <w:rFonts w:ascii="Calibri"/>
          <w:sz w:val="48"/>
        </w:rPr>
        <w:t>Central human resources recruiting that functions</w:t>
      </w:r>
    </w:p>
    <w:p w:rsidR="00915ADB" w:rsidRDefault="00CA4BE9">
      <w:pPr>
        <w:spacing w:line="519" w:lineRule="exact"/>
        <w:ind w:left="1006"/>
        <w:rPr>
          <w:rFonts w:ascii="Calibri" w:eastAsia="Calibri" w:hAnsi="Calibri" w:cs="Calibri"/>
          <w:sz w:val="48"/>
          <w:szCs w:val="48"/>
        </w:rPr>
      </w:pPr>
      <w:r>
        <w:rPr>
          <w:rFonts w:ascii="Calibri"/>
          <w:sz w:val="48"/>
        </w:rPr>
        <w:t>regionally</w:t>
      </w:r>
    </w:p>
    <w:p w:rsidR="00915ADB" w:rsidRDefault="00CA4BE9">
      <w:pPr>
        <w:pStyle w:val="ListParagraph"/>
        <w:numPr>
          <w:ilvl w:val="0"/>
          <w:numId w:val="1"/>
        </w:numPr>
        <w:tabs>
          <w:tab w:val="left" w:pos="1007"/>
        </w:tabs>
        <w:spacing w:line="576" w:lineRule="exact"/>
        <w:ind w:hanging="542"/>
        <w:rPr>
          <w:rFonts w:ascii="Calibri" w:eastAsia="Calibri" w:hAnsi="Calibri" w:cs="Calibri"/>
          <w:sz w:val="48"/>
          <w:szCs w:val="48"/>
        </w:rPr>
      </w:pPr>
      <w:r>
        <w:rPr>
          <w:rFonts w:ascii="Calibri"/>
          <w:sz w:val="48"/>
        </w:rPr>
        <w:t>Three locations (Sarajevo, Mostar, Banja Luka)</w:t>
      </w:r>
    </w:p>
    <w:p w:rsidR="00915ADB" w:rsidRDefault="00CA4BE9">
      <w:pPr>
        <w:pStyle w:val="ListParagraph"/>
        <w:numPr>
          <w:ilvl w:val="0"/>
          <w:numId w:val="1"/>
        </w:numPr>
        <w:tabs>
          <w:tab w:val="left" w:pos="1007"/>
        </w:tabs>
        <w:spacing w:line="581" w:lineRule="exact"/>
        <w:ind w:hanging="542"/>
        <w:rPr>
          <w:rFonts w:ascii="Calibri" w:eastAsia="Calibri" w:hAnsi="Calibri" w:cs="Calibri"/>
          <w:sz w:val="48"/>
          <w:szCs w:val="48"/>
        </w:rPr>
      </w:pPr>
      <w:r>
        <w:rPr>
          <w:rFonts w:ascii="Calibri"/>
          <w:sz w:val="48"/>
        </w:rPr>
        <w:t>ICT is part of the Treasury</w:t>
      </w:r>
    </w:p>
    <w:p w:rsidR="00915ADB" w:rsidRDefault="00915ADB">
      <w:pPr>
        <w:spacing w:line="581" w:lineRule="exact"/>
        <w:rPr>
          <w:rFonts w:ascii="Calibri" w:eastAsia="Calibri" w:hAnsi="Calibri" w:cs="Calibri"/>
          <w:sz w:val="48"/>
          <w:szCs w:val="48"/>
        </w:rPr>
        <w:sectPr w:rsidR="00915ADB">
          <w:pgSz w:w="14400" w:h="10800" w:orient="landscape"/>
          <w:pgMar w:top="780" w:right="2060" w:bottom="280" w:left="400" w:header="720" w:footer="720" w:gutter="0"/>
          <w:cols w:space="720"/>
        </w:sectPr>
      </w:pPr>
    </w:p>
    <w:p w:rsidR="00915ADB" w:rsidRDefault="00915ADB">
      <w:pPr>
        <w:rPr>
          <w:rFonts w:ascii="Calibri" w:eastAsia="Calibri" w:hAnsi="Calibri" w:cs="Calibri"/>
          <w:sz w:val="20"/>
          <w:szCs w:val="20"/>
        </w:rPr>
      </w:pPr>
    </w:p>
    <w:p w:rsidR="00915ADB" w:rsidRDefault="00915ADB">
      <w:pPr>
        <w:spacing w:before="10"/>
        <w:rPr>
          <w:rFonts w:ascii="Calibri" w:eastAsia="Calibri" w:hAnsi="Calibri" w:cs="Calibri"/>
          <w:sz w:val="29"/>
          <w:szCs w:val="29"/>
        </w:rPr>
      </w:pPr>
    </w:p>
    <w:p w:rsidR="00915ADB" w:rsidRPr="003368E0" w:rsidRDefault="00CA4BE9">
      <w:pPr>
        <w:pStyle w:val="ListParagraph"/>
        <w:numPr>
          <w:ilvl w:val="0"/>
          <w:numId w:val="1"/>
        </w:numPr>
        <w:tabs>
          <w:tab w:val="left" w:pos="1007"/>
        </w:tabs>
        <w:spacing w:before="42" w:line="484" w:lineRule="exact"/>
        <w:ind w:right="-7" w:hanging="542"/>
        <w:rPr>
          <w:rFonts w:ascii="Calibri" w:eastAsia="Calibri" w:hAnsi="Calibri" w:cs="Calibri"/>
          <w:sz w:val="28"/>
          <w:szCs w:val="28"/>
        </w:rPr>
      </w:pPr>
      <w:r w:rsidRPr="003368E0">
        <w:rPr>
          <w:rFonts w:ascii="Calibri"/>
          <w:sz w:val="28"/>
          <w:szCs w:val="28"/>
        </w:rPr>
        <w:t>Main functions</w:t>
      </w:r>
    </w:p>
    <w:p w:rsidR="00915ADB" w:rsidRPr="003368E0" w:rsidRDefault="00CA4BE9">
      <w:pPr>
        <w:pStyle w:val="ListParagraph"/>
        <w:numPr>
          <w:ilvl w:val="1"/>
          <w:numId w:val="1"/>
        </w:numPr>
        <w:tabs>
          <w:tab w:val="left" w:pos="1636"/>
        </w:tabs>
        <w:spacing w:line="432" w:lineRule="exact"/>
        <w:ind w:right="-7" w:hanging="451"/>
        <w:rPr>
          <w:rFonts w:ascii="Calibri" w:eastAsia="Calibri" w:hAnsi="Calibri" w:cs="Calibri"/>
          <w:sz w:val="28"/>
          <w:szCs w:val="28"/>
        </w:rPr>
      </w:pPr>
      <w:r w:rsidRPr="003368E0">
        <w:rPr>
          <w:rFonts w:ascii="Calibri" w:hAnsi="Calibri"/>
          <w:sz w:val="28"/>
          <w:szCs w:val="28"/>
        </w:rPr>
        <w:t>preparing laws, other regulations and general acts within the scope of the Sector</w:t>
      </w:r>
    </w:p>
    <w:p w:rsidR="00915ADB" w:rsidRPr="003368E0" w:rsidRDefault="00CA4BE9">
      <w:pPr>
        <w:pStyle w:val="ListParagraph"/>
        <w:numPr>
          <w:ilvl w:val="1"/>
          <w:numId w:val="1"/>
        </w:numPr>
        <w:tabs>
          <w:tab w:val="left" w:pos="1636"/>
        </w:tabs>
        <w:spacing w:line="432" w:lineRule="exact"/>
        <w:ind w:right="-7" w:hanging="451"/>
        <w:rPr>
          <w:rFonts w:ascii="Calibri" w:eastAsia="Calibri" w:hAnsi="Calibri" w:cs="Calibri"/>
          <w:sz w:val="28"/>
          <w:szCs w:val="28"/>
        </w:rPr>
      </w:pPr>
      <w:r w:rsidRPr="003368E0">
        <w:rPr>
          <w:rFonts w:ascii="Calibri" w:hAnsi="Calibri"/>
          <w:sz w:val="28"/>
          <w:szCs w:val="28"/>
        </w:rPr>
        <w:t>Managing the Treasury Single Account (TSA) system</w:t>
      </w:r>
    </w:p>
    <w:p w:rsidR="00915ADB" w:rsidRPr="003368E0" w:rsidRDefault="00CA4BE9">
      <w:pPr>
        <w:pStyle w:val="ListParagraph"/>
        <w:numPr>
          <w:ilvl w:val="1"/>
          <w:numId w:val="1"/>
        </w:numPr>
        <w:tabs>
          <w:tab w:val="left" w:pos="1636"/>
        </w:tabs>
        <w:spacing w:line="432" w:lineRule="exact"/>
        <w:ind w:right="-7" w:hanging="451"/>
        <w:rPr>
          <w:rFonts w:ascii="Calibri" w:eastAsia="Calibri" w:hAnsi="Calibri" w:cs="Calibri"/>
          <w:sz w:val="28"/>
          <w:szCs w:val="28"/>
        </w:rPr>
      </w:pPr>
      <w:r w:rsidRPr="003368E0">
        <w:rPr>
          <w:rFonts w:ascii="Calibri" w:hAnsi="Calibri"/>
          <w:sz w:val="28"/>
          <w:szCs w:val="28"/>
        </w:rPr>
        <w:t>Establishing a budget execution monitoring system</w:t>
      </w:r>
    </w:p>
    <w:p w:rsidR="00915ADB" w:rsidRPr="003368E0" w:rsidRDefault="00CA4BE9">
      <w:pPr>
        <w:pStyle w:val="ListParagraph"/>
        <w:numPr>
          <w:ilvl w:val="1"/>
          <w:numId w:val="1"/>
        </w:numPr>
        <w:tabs>
          <w:tab w:val="left" w:pos="1636"/>
        </w:tabs>
        <w:spacing w:line="432" w:lineRule="exact"/>
        <w:ind w:right="-7" w:hanging="451"/>
        <w:rPr>
          <w:rFonts w:ascii="Calibri" w:eastAsia="Calibri" w:hAnsi="Calibri" w:cs="Calibri"/>
          <w:sz w:val="28"/>
          <w:szCs w:val="28"/>
        </w:rPr>
      </w:pPr>
      <w:r w:rsidRPr="003368E0">
        <w:rPr>
          <w:rFonts w:ascii="Calibri" w:hAnsi="Calibri"/>
          <w:sz w:val="28"/>
          <w:szCs w:val="28"/>
        </w:rPr>
        <w:t>Payment of liabilities of Bosnia and Herzegovina institutions into the budget</w:t>
      </w:r>
    </w:p>
    <w:p w:rsidR="00915ADB" w:rsidRPr="003368E0" w:rsidRDefault="00CA4BE9">
      <w:pPr>
        <w:pStyle w:val="ListParagraph"/>
        <w:numPr>
          <w:ilvl w:val="1"/>
          <w:numId w:val="1"/>
        </w:numPr>
        <w:tabs>
          <w:tab w:val="left" w:pos="1636"/>
        </w:tabs>
        <w:spacing w:line="432" w:lineRule="exact"/>
        <w:ind w:right="-7" w:hanging="451"/>
        <w:rPr>
          <w:rFonts w:ascii="Calibri" w:eastAsia="Calibri" w:hAnsi="Calibri" w:cs="Calibri"/>
          <w:sz w:val="28"/>
          <w:szCs w:val="28"/>
        </w:rPr>
      </w:pPr>
      <w:r w:rsidRPr="003368E0">
        <w:rPr>
          <w:rFonts w:ascii="Calibri" w:hAnsi="Calibri"/>
          <w:sz w:val="28"/>
          <w:szCs w:val="28"/>
        </w:rPr>
        <w:t>Establishing and developing the accounting system of Bosnia and Herzegovina institutions</w:t>
      </w:r>
    </w:p>
    <w:p w:rsidR="00915ADB" w:rsidRPr="003368E0" w:rsidRDefault="00CA4BE9">
      <w:pPr>
        <w:pStyle w:val="ListParagraph"/>
        <w:numPr>
          <w:ilvl w:val="1"/>
          <w:numId w:val="1"/>
        </w:numPr>
        <w:tabs>
          <w:tab w:val="left" w:pos="1636"/>
        </w:tabs>
        <w:spacing w:line="432" w:lineRule="exact"/>
        <w:ind w:right="-7" w:hanging="451"/>
        <w:rPr>
          <w:rFonts w:ascii="Calibri" w:eastAsia="Calibri" w:hAnsi="Calibri" w:cs="Calibri"/>
          <w:sz w:val="28"/>
          <w:szCs w:val="28"/>
        </w:rPr>
      </w:pPr>
      <w:r w:rsidRPr="003368E0">
        <w:rPr>
          <w:rFonts w:ascii="Calibri" w:hAnsi="Calibri"/>
          <w:sz w:val="28"/>
          <w:szCs w:val="28"/>
        </w:rPr>
        <w:t>Establishing, maintaining and developing information system applications</w:t>
      </w:r>
    </w:p>
    <w:p w:rsidR="00915ADB" w:rsidRPr="003368E0" w:rsidRDefault="00CA4BE9">
      <w:pPr>
        <w:pStyle w:val="ListParagraph"/>
        <w:numPr>
          <w:ilvl w:val="1"/>
          <w:numId w:val="1"/>
        </w:numPr>
        <w:tabs>
          <w:tab w:val="left" w:pos="1636"/>
        </w:tabs>
        <w:spacing w:line="432" w:lineRule="exact"/>
        <w:ind w:right="-7" w:hanging="451"/>
        <w:rPr>
          <w:rFonts w:ascii="Calibri" w:eastAsia="Calibri" w:hAnsi="Calibri" w:cs="Calibri"/>
          <w:sz w:val="28"/>
          <w:szCs w:val="28"/>
        </w:rPr>
      </w:pPr>
      <w:r w:rsidRPr="003368E0">
        <w:rPr>
          <w:rFonts w:ascii="Calibri" w:hAnsi="Calibri"/>
          <w:sz w:val="28"/>
          <w:szCs w:val="28"/>
        </w:rPr>
        <w:t>Keeping bookkeeping records of Bosnia and Herzegovina institutions through the Treasury general ledger</w:t>
      </w:r>
    </w:p>
    <w:p w:rsidR="00915ADB" w:rsidRPr="003368E0" w:rsidRDefault="00CA4BE9">
      <w:pPr>
        <w:pStyle w:val="ListParagraph"/>
        <w:numPr>
          <w:ilvl w:val="1"/>
          <w:numId w:val="1"/>
        </w:numPr>
        <w:tabs>
          <w:tab w:val="left" w:pos="1636"/>
        </w:tabs>
        <w:spacing w:line="389" w:lineRule="exact"/>
        <w:ind w:right="-7" w:hanging="451"/>
        <w:rPr>
          <w:rFonts w:ascii="Calibri" w:eastAsia="Calibri" w:hAnsi="Calibri" w:cs="Calibri"/>
          <w:sz w:val="28"/>
          <w:szCs w:val="28"/>
        </w:rPr>
      </w:pPr>
      <w:r w:rsidRPr="003368E0">
        <w:rPr>
          <w:rFonts w:ascii="Calibri" w:hAnsi="Calibri"/>
          <w:sz w:val="28"/>
          <w:szCs w:val="28"/>
        </w:rPr>
        <w:t>Reporting on all aspects of cash flows occurring through the Sector for</w:t>
      </w:r>
    </w:p>
    <w:p w:rsidR="00915ADB" w:rsidRPr="003368E0" w:rsidRDefault="00CA4BE9">
      <w:pPr>
        <w:spacing w:line="389" w:lineRule="exact"/>
        <w:ind w:left="1635" w:right="-7"/>
        <w:rPr>
          <w:rFonts w:ascii="Calibri" w:eastAsia="Calibri" w:hAnsi="Calibri" w:cs="Calibri"/>
          <w:sz w:val="28"/>
          <w:szCs w:val="28"/>
        </w:rPr>
      </w:pPr>
      <w:r w:rsidRPr="003368E0">
        <w:rPr>
          <w:rFonts w:ascii="Calibri"/>
          <w:sz w:val="28"/>
          <w:szCs w:val="28"/>
        </w:rPr>
        <w:t>Treasury operations</w:t>
      </w:r>
    </w:p>
    <w:p w:rsidR="00915ADB" w:rsidRPr="003368E0" w:rsidRDefault="00CA4BE9">
      <w:pPr>
        <w:pStyle w:val="ListParagraph"/>
        <w:numPr>
          <w:ilvl w:val="1"/>
          <w:numId w:val="1"/>
        </w:numPr>
        <w:tabs>
          <w:tab w:val="left" w:pos="1636"/>
        </w:tabs>
        <w:spacing w:line="432" w:lineRule="exact"/>
        <w:ind w:right="-7" w:hanging="451"/>
        <w:rPr>
          <w:rFonts w:ascii="Calibri" w:eastAsia="Calibri" w:hAnsi="Calibri" w:cs="Calibri"/>
          <w:sz w:val="28"/>
          <w:szCs w:val="28"/>
        </w:rPr>
      </w:pPr>
      <w:r w:rsidRPr="003368E0">
        <w:rPr>
          <w:rFonts w:ascii="Calibri" w:hAnsi="Calibri"/>
          <w:sz w:val="28"/>
          <w:szCs w:val="28"/>
        </w:rPr>
        <w:t>Payroll and payment of wages and remuneration to all budget users</w:t>
      </w:r>
    </w:p>
    <w:p w:rsidR="00915ADB" w:rsidRPr="003368E0" w:rsidRDefault="00CA4BE9">
      <w:pPr>
        <w:pStyle w:val="ListParagraph"/>
        <w:numPr>
          <w:ilvl w:val="1"/>
          <w:numId w:val="1"/>
        </w:numPr>
        <w:tabs>
          <w:tab w:val="left" w:pos="1636"/>
        </w:tabs>
        <w:spacing w:line="432" w:lineRule="exact"/>
        <w:ind w:right="-7" w:hanging="451"/>
        <w:rPr>
          <w:rFonts w:ascii="Calibri" w:eastAsia="Calibri" w:hAnsi="Calibri" w:cs="Calibri"/>
          <w:sz w:val="28"/>
          <w:szCs w:val="28"/>
        </w:rPr>
      </w:pPr>
      <w:r w:rsidRPr="003368E0">
        <w:rPr>
          <w:rFonts w:ascii="Calibri" w:hAnsi="Calibri"/>
          <w:sz w:val="28"/>
          <w:szCs w:val="28"/>
        </w:rPr>
        <w:t>Establishing the function of the national fund</w:t>
      </w:r>
    </w:p>
    <w:p w:rsidR="00915ADB" w:rsidRPr="003368E0" w:rsidRDefault="00CA4BE9">
      <w:pPr>
        <w:pStyle w:val="ListParagraph"/>
        <w:numPr>
          <w:ilvl w:val="0"/>
          <w:numId w:val="1"/>
        </w:numPr>
        <w:tabs>
          <w:tab w:val="left" w:pos="1007"/>
        </w:tabs>
        <w:spacing w:line="433" w:lineRule="exact"/>
        <w:ind w:right="-7" w:hanging="542"/>
        <w:rPr>
          <w:rFonts w:ascii="Calibri" w:eastAsia="Calibri" w:hAnsi="Calibri" w:cs="Calibri"/>
          <w:sz w:val="28"/>
          <w:szCs w:val="28"/>
        </w:rPr>
      </w:pPr>
      <w:r w:rsidRPr="003368E0">
        <w:rPr>
          <w:rFonts w:ascii="Calibri" w:hAnsi="Calibri"/>
          <w:sz w:val="28"/>
          <w:szCs w:val="28"/>
        </w:rPr>
        <w:t>The Treasury doesn’t have a secondary function and does not charge its services to budget</w:t>
      </w:r>
    </w:p>
    <w:p w:rsidR="00915ADB" w:rsidRPr="003368E0" w:rsidRDefault="00CA4BE9">
      <w:pPr>
        <w:spacing w:line="432" w:lineRule="exact"/>
        <w:ind w:left="1006" w:right="-7"/>
        <w:rPr>
          <w:rFonts w:ascii="Calibri" w:eastAsia="Calibri" w:hAnsi="Calibri" w:cs="Calibri"/>
          <w:sz w:val="28"/>
          <w:szCs w:val="28"/>
        </w:rPr>
      </w:pPr>
      <w:r w:rsidRPr="003368E0">
        <w:rPr>
          <w:rFonts w:ascii="Calibri"/>
          <w:sz w:val="28"/>
          <w:szCs w:val="28"/>
        </w:rPr>
        <w:t>users</w:t>
      </w:r>
    </w:p>
    <w:p w:rsidR="00915ADB" w:rsidRPr="003368E0" w:rsidRDefault="00CA4BE9">
      <w:pPr>
        <w:pStyle w:val="ListParagraph"/>
        <w:numPr>
          <w:ilvl w:val="0"/>
          <w:numId w:val="1"/>
        </w:numPr>
        <w:tabs>
          <w:tab w:val="left" w:pos="1007"/>
        </w:tabs>
        <w:spacing w:line="432" w:lineRule="exact"/>
        <w:ind w:right="-7" w:hanging="542"/>
        <w:rPr>
          <w:rFonts w:ascii="Calibri" w:eastAsia="Calibri" w:hAnsi="Calibri" w:cs="Calibri"/>
          <w:sz w:val="28"/>
          <w:szCs w:val="28"/>
        </w:rPr>
      </w:pPr>
      <w:r w:rsidRPr="003368E0">
        <w:rPr>
          <w:rFonts w:ascii="Calibri" w:hAnsi="Calibri"/>
          <w:sz w:val="28"/>
          <w:szCs w:val="28"/>
        </w:rPr>
        <w:t>The Treasury trains budget users primarily for working with</w:t>
      </w:r>
    </w:p>
    <w:p w:rsidR="00915ADB" w:rsidRPr="003368E0" w:rsidRDefault="00CA4BE9">
      <w:pPr>
        <w:spacing w:line="436" w:lineRule="exact"/>
        <w:ind w:left="1006" w:right="-7"/>
        <w:rPr>
          <w:rFonts w:ascii="Calibri" w:eastAsia="Calibri" w:hAnsi="Calibri" w:cs="Calibri"/>
          <w:sz w:val="28"/>
          <w:szCs w:val="28"/>
        </w:rPr>
      </w:pPr>
      <w:r w:rsidRPr="003368E0">
        <w:rPr>
          <w:rFonts w:ascii="Calibri"/>
          <w:sz w:val="28"/>
          <w:szCs w:val="28"/>
        </w:rPr>
        <w:t>the information system and drafting regulations</w:t>
      </w:r>
    </w:p>
    <w:p w:rsidR="00915ADB" w:rsidRDefault="00915ADB">
      <w:pPr>
        <w:spacing w:line="436" w:lineRule="exact"/>
        <w:rPr>
          <w:rFonts w:ascii="Calibri" w:eastAsia="Calibri" w:hAnsi="Calibri" w:cs="Calibri"/>
          <w:sz w:val="40"/>
          <w:szCs w:val="40"/>
        </w:rPr>
        <w:sectPr w:rsidR="00915ADB">
          <w:headerReference w:type="default" r:id="rId8"/>
          <w:pgSz w:w="14400" w:h="10800" w:orient="landscape"/>
          <w:pgMar w:top="1840" w:right="1000" w:bottom="280" w:left="400" w:header="864" w:footer="0" w:gutter="0"/>
          <w:cols w:space="720"/>
        </w:sectPr>
      </w:pPr>
    </w:p>
    <w:p w:rsidR="00915ADB" w:rsidRDefault="00915ADB">
      <w:pPr>
        <w:rPr>
          <w:rFonts w:ascii="Calibri" w:eastAsia="Calibri" w:hAnsi="Calibri" w:cs="Calibri"/>
          <w:sz w:val="20"/>
          <w:szCs w:val="20"/>
        </w:rPr>
      </w:pPr>
    </w:p>
    <w:p w:rsidR="00915ADB" w:rsidRDefault="00915ADB">
      <w:pPr>
        <w:spacing w:before="12"/>
        <w:rPr>
          <w:rFonts w:ascii="Calibri" w:eastAsia="Calibri" w:hAnsi="Calibri" w:cs="Calibri"/>
          <w:sz w:val="29"/>
          <w:szCs w:val="29"/>
        </w:rPr>
      </w:pPr>
    </w:p>
    <w:p w:rsidR="00915ADB" w:rsidRPr="003368E0" w:rsidRDefault="00CA4BE9">
      <w:pPr>
        <w:pStyle w:val="ListParagraph"/>
        <w:numPr>
          <w:ilvl w:val="0"/>
          <w:numId w:val="1"/>
        </w:numPr>
        <w:tabs>
          <w:tab w:val="left" w:pos="1007"/>
        </w:tabs>
        <w:spacing w:before="49" w:line="436" w:lineRule="exact"/>
        <w:ind w:hanging="542"/>
        <w:rPr>
          <w:rFonts w:ascii="Calibri" w:eastAsia="Calibri" w:hAnsi="Calibri" w:cs="Calibri"/>
          <w:sz w:val="28"/>
          <w:szCs w:val="28"/>
        </w:rPr>
      </w:pPr>
      <w:r w:rsidRPr="003368E0">
        <w:rPr>
          <w:rFonts w:ascii="Calibri" w:hAnsi="Calibri"/>
          <w:sz w:val="28"/>
          <w:szCs w:val="28"/>
        </w:rPr>
        <w:t>The Ministry of Finance and Treasury has a mid-term work plan for the period 2017–2019</w:t>
      </w:r>
    </w:p>
    <w:p w:rsidR="00915ADB" w:rsidRPr="003368E0" w:rsidRDefault="00CA4BE9">
      <w:pPr>
        <w:pStyle w:val="ListParagraph"/>
        <w:numPr>
          <w:ilvl w:val="1"/>
          <w:numId w:val="1"/>
        </w:numPr>
        <w:tabs>
          <w:tab w:val="left" w:pos="1636"/>
        </w:tabs>
        <w:spacing w:line="345" w:lineRule="exact"/>
        <w:ind w:hanging="451"/>
        <w:rPr>
          <w:rFonts w:ascii="Calibri" w:eastAsia="Calibri" w:hAnsi="Calibri" w:cs="Calibri"/>
          <w:sz w:val="28"/>
          <w:szCs w:val="28"/>
        </w:rPr>
      </w:pPr>
      <w:r w:rsidRPr="003368E0">
        <w:rPr>
          <w:rFonts w:ascii="Calibri" w:hAnsi="Calibri"/>
          <w:sz w:val="28"/>
          <w:szCs w:val="28"/>
        </w:rPr>
        <w:t>In accordance with the strategic framework for Bosnia and Herzegovina, the mandate of the Ministry of Finance and</w:t>
      </w:r>
    </w:p>
    <w:p w:rsidR="00915ADB" w:rsidRPr="003368E0" w:rsidRDefault="00CA4BE9">
      <w:pPr>
        <w:pStyle w:val="BodyText"/>
        <w:spacing w:line="346" w:lineRule="exact"/>
        <w:ind w:firstLine="0"/>
        <w:rPr>
          <w:rFonts w:cs="Calibri"/>
          <w:sz w:val="28"/>
          <w:szCs w:val="28"/>
        </w:rPr>
      </w:pPr>
      <w:r w:rsidRPr="003368E0">
        <w:rPr>
          <w:sz w:val="28"/>
          <w:szCs w:val="28"/>
        </w:rPr>
        <w:t>Treasury of Bosnia and Herzegovina is to contribute to integrated growth as a general objective</w:t>
      </w:r>
    </w:p>
    <w:p w:rsidR="00915ADB" w:rsidRPr="003368E0" w:rsidRDefault="00CA4BE9">
      <w:pPr>
        <w:pStyle w:val="ListParagraph"/>
        <w:numPr>
          <w:ilvl w:val="1"/>
          <w:numId w:val="1"/>
        </w:numPr>
        <w:tabs>
          <w:tab w:val="left" w:pos="1636"/>
        </w:tabs>
        <w:spacing w:before="61" w:line="189" w:lineRule="auto"/>
        <w:ind w:right="711" w:hanging="451"/>
        <w:rPr>
          <w:rFonts w:ascii="Calibri" w:eastAsia="Calibri" w:hAnsi="Calibri" w:cs="Calibri"/>
          <w:sz w:val="28"/>
          <w:szCs w:val="28"/>
        </w:rPr>
      </w:pPr>
      <w:r w:rsidRPr="003368E0">
        <w:rPr>
          <w:rFonts w:ascii="Calibri" w:hAnsi="Calibri"/>
          <w:sz w:val="28"/>
          <w:szCs w:val="28"/>
        </w:rPr>
        <w:t>The strategic objective of the Ministry of Finance and Treasury of Bosnia and Herzegovina is macroeconomic stability as a fundamental precondition of sustainable economic growth and increasing employment</w:t>
      </w:r>
    </w:p>
    <w:p w:rsidR="00915ADB" w:rsidRPr="003368E0" w:rsidRDefault="00CA4BE9">
      <w:pPr>
        <w:pStyle w:val="ListParagraph"/>
        <w:numPr>
          <w:ilvl w:val="1"/>
          <w:numId w:val="1"/>
        </w:numPr>
        <w:tabs>
          <w:tab w:val="left" w:pos="1636"/>
        </w:tabs>
        <w:spacing w:before="75" w:line="189" w:lineRule="auto"/>
        <w:ind w:right="299" w:hanging="451"/>
        <w:rPr>
          <w:rFonts w:ascii="Calibri" w:eastAsia="Calibri" w:hAnsi="Calibri" w:cs="Calibri"/>
          <w:sz w:val="28"/>
          <w:szCs w:val="28"/>
        </w:rPr>
      </w:pPr>
      <w:r w:rsidRPr="003368E0">
        <w:rPr>
          <w:rFonts w:ascii="Calibri" w:hAnsi="Calibri"/>
          <w:sz w:val="28"/>
          <w:szCs w:val="28"/>
        </w:rPr>
        <w:t>Macroeconomic stability will be achieved through efficient public financial management (improved management of institutions’ budget), fiscal consolidation and efficient public debt management, strengthening of the system of internal financial control and internal audit</w:t>
      </w:r>
    </w:p>
    <w:p w:rsidR="00915ADB" w:rsidRPr="003368E0" w:rsidRDefault="00CA4BE9">
      <w:pPr>
        <w:pStyle w:val="ListParagraph"/>
        <w:numPr>
          <w:ilvl w:val="1"/>
          <w:numId w:val="1"/>
        </w:numPr>
        <w:tabs>
          <w:tab w:val="left" w:pos="1636"/>
        </w:tabs>
        <w:spacing w:before="76" w:line="189" w:lineRule="auto"/>
        <w:ind w:right="100" w:hanging="451"/>
        <w:rPr>
          <w:rFonts w:ascii="Calibri" w:eastAsia="Calibri" w:hAnsi="Calibri" w:cs="Calibri"/>
          <w:sz w:val="28"/>
          <w:szCs w:val="28"/>
        </w:rPr>
      </w:pPr>
      <w:r w:rsidRPr="003368E0">
        <w:rPr>
          <w:rFonts w:ascii="Calibri" w:hAnsi="Calibri"/>
          <w:sz w:val="28"/>
          <w:szCs w:val="28"/>
        </w:rPr>
        <w:t>The mid-term objective of the Ministry of Finance and Treasury of Bosnia and Herzegovina is a stable and transparent funding system of Bosnia and Herzegovina, public financial management and control and fulfilment of international financial commitments</w:t>
      </w:r>
    </w:p>
    <w:p w:rsidR="00915ADB" w:rsidRPr="003368E0" w:rsidRDefault="00CA4BE9">
      <w:pPr>
        <w:pStyle w:val="ListParagraph"/>
        <w:numPr>
          <w:ilvl w:val="0"/>
          <w:numId w:val="1"/>
        </w:numPr>
        <w:tabs>
          <w:tab w:val="left" w:pos="1007"/>
        </w:tabs>
        <w:spacing w:before="12" w:line="436" w:lineRule="exact"/>
        <w:ind w:hanging="542"/>
        <w:rPr>
          <w:rFonts w:ascii="Calibri" w:eastAsia="Calibri" w:hAnsi="Calibri" w:cs="Calibri"/>
          <w:sz w:val="28"/>
          <w:szCs w:val="28"/>
        </w:rPr>
      </w:pPr>
      <w:r w:rsidRPr="003368E0">
        <w:rPr>
          <w:rFonts w:ascii="Calibri" w:hAnsi="Calibri"/>
          <w:sz w:val="28"/>
          <w:szCs w:val="28"/>
        </w:rPr>
        <w:t>Action plan of the mid-term work plan of the Ministry of Finance and Treasury of Bosnia and Herzegovina:</w:t>
      </w:r>
    </w:p>
    <w:p w:rsidR="00915ADB" w:rsidRPr="003368E0" w:rsidRDefault="00CA4BE9">
      <w:pPr>
        <w:pStyle w:val="ListParagraph"/>
        <w:numPr>
          <w:ilvl w:val="1"/>
          <w:numId w:val="1"/>
        </w:numPr>
        <w:tabs>
          <w:tab w:val="left" w:pos="1636"/>
        </w:tabs>
        <w:spacing w:before="60" w:line="189" w:lineRule="auto"/>
        <w:ind w:right="711" w:hanging="451"/>
        <w:rPr>
          <w:rFonts w:ascii="Calibri" w:eastAsia="Calibri" w:hAnsi="Calibri" w:cs="Calibri"/>
          <w:sz w:val="28"/>
          <w:szCs w:val="28"/>
        </w:rPr>
      </w:pPr>
      <w:r w:rsidRPr="003368E0">
        <w:rPr>
          <w:rFonts w:ascii="Calibri" w:hAnsi="Calibri"/>
          <w:sz w:val="28"/>
          <w:szCs w:val="28"/>
        </w:rPr>
        <w:t>achieving the mid-term objective is based on the realisation of specific objectives, programmes and projects</w:t>
      </w:r>
    </w:p>
    <w:p w:rsidR="00915ADB" w:rsidRPr="003368E0" w:rsidRDefault="00CA4BE9">
      <w:pPr>
        <w:pStyle w:val="ListParagraph"/>
        <w:numPr>
          <w:ilvl w:val="1"/>
          <w:numId w:val="1"/>
        </w:numPr>
        <w:tabs>
          <w:tab w:val="left" w:pos="1636"/>
        </w:tabs>
        <w:spacing w:before="76" w:line="189" w:lineRule="auto"/>
        <w:ind w:right="299" w:hanging="451"/>
        <w:rPr>
          <w:rFonts w:ascii="Calibri" w:eastAsia="Calibri" w:hAnsi="Calibri" w:cs="Calibri"/>
          <w:sz w:val="28"/>
          <w:szCs w:val="28"/>
        </w:rPr>
      </w:pPr>
      <w:r w:rsidRPr="003368E0">
        <w:rPr>
          <w:rFonts w:ascii="Calibri" w:hAnsi="Calibri"/>
          <w:sz w:val="28"/>
          <w:szCs w:val="28"/>
        </w:rPr>
        <w:t>One of the programmes also covers treasury operation management in Bosnia and Herzegovina institutions in accordance with European standards (establishing, maintaining and improving budget controls, managing  the TSA, managing the Treasury general ledger system, payroll and remuneration to Bosnia and Herzegovina institutions, contributing to the fulfilment of  requirements for the accreditation of Bosnia and Herzegovina institutions with regard to managing pre-accession assistance (IPA) of the EU)</w:t>
      </w:r>
    </w:p>
    <w:p w:rsidR="00915ADB" w:rsidRDefault="00915ADB">
      <w:pPr>
        <w:spacing w:line="189" w:lineRule="auto"/>
        <w:rPr>
          <w:rFonts w:ascii="Calibri" w:eastAsia="Calibri" w:hAnsi="Calibri" w:cs="Calibri"/>
          <w:sz w:val="32"/>
          <w:szCs w:val="32"/>
        </w:rPr>
      </w:pPr>
    </w:p>
    <w:p w:rsidR="003368E0" w:rsidRDefault="003368E0">
      <w:pPr>
        <w:spacing w:line="189" w:lineRule="auto"/>
        <w:rPr>
          <w:rFonts w:ascii="Calibri" w:eastAsia="Calibri" w:hAnsi="Calibri" w:cs="Calibri"/>
          <w:sz w:val="32"/>
          <w:szCs w:val="32"/>
        </w:rPr>
      </w:pPr>
    </w:p>
    <w:p w:rsidR="003368E0" w:rsidRDefault="003368E0">
      <w:pPr>
        <w:spacing w:line="189" w:lineRule="auto"/>
        <w:rPr>
          <w:rFonts w:ascii="Calibri" w:eastAsia="Calibri" w:hAnsi="Calibri" w:cs="Calibri"/>
          <w:sz w:val="32"/>
          <w:szCs w:val="32"/>
        </w:rPr>
        <w:sectPr w:rsidR="003368E0">
          <w:headerReference w:type="default" r:id="rId9"/>
          <w:pgSz w:w="14400" w:h="10800" w:orient="landscape"/>
          <w:pgMar w:top="1840" w:right="840" w:bottom="280" w:left="400" w:header="864" w:footer="0" w:gutter="0"/>
          <w:cols w:space="720"/>
        </w:sectPr>
      </w:pPr>
    </w:p>
    <w:p w:rsidR="00915ADB" w:rsidRDefault="00CA4BE9">
      <w:pPr>
        <w:pStyle w:val="Heading1"/>
        <w:tabs>
          <w:tab w:val="left" w:pos="6513"/>
        </w:tabs>
        <w:spacing w:line="103" w:lineRule="exact"/>
        <w:ind w:left="4205"/>
        <w:rPr>
          <w:rFonts w:cs="Calibri"/>
        </w:rPr>
      </w:pPr>
      <w:r>
        <w:lastRenderedPageBreak/>
        <w:tab/>
      </w:r>
    </w:p>
    <w:p w:rsidR="00915ADB" w:rsidRPr="003368E0" w:rsidRDefault="003368E0">
      <w:pPr>
        <w:rPr>
          <w:rFonts w:ascii="Calibri" w:eastAsia="Calibri" w:hAnsi="Calibri" w:cs="Calibri"/>
          <w:sz w:val="56"/>
          <w:szCs w:val="56"/>
        </w:rPr>
      </w:pPr>
      <w:r w:rsidRPr="003368E0">
        <w:rPr>
          <w:rFonts w:ascii="Calibri" w:eastAsia="Calibri" w:hAnsi="Calibri" w:cs="Calibri"/>
          <w:sz w:val="56"/>
          <w:szCs w:val="56"/>
        </w:rPr>
        <w:t xml:space="preserve">                                      MAJOR REFORMS</w:t>
      </w:r>
    </w:p>
    <w:p w:rsidR="00915ADB" w:rsidRDefault="00915ADB">
      <w:pPr>
        <w:rPr>
          <w:rFonts w:ascii="Calibri" w:eastAsia="Calibri" w:hAnsi="Calibri" w:cs="Calibri"/>
          <w:sz w:val="20"/>
          <w:szCs w:val="20"/>
        </w:rPr>
      </w:pPr>
    </w:p>
    <w:p w:rsidR="00915ADB" w:rsidRDefault="00915ADB">
      <w:pPr>
        <w:spacing w:before="8"/>
        <w:rPr>
          <w:rFonts w:ascii="Calibri" w:eastAsia="Calibri" w:hAnsi="Calibri" w:cs="Calibri"/>
          <w:sz w:val="12"/>
          <w:szCs w:val="12"/>
        </w:rPr>
      </w:pPr>
    </w:p>
    <w:tbl>
      <w:tblPr>
        <w:tblW w:w="0" w:type="auto"/>
        <w:tblInd w:w="326" w:type="dxa"/>
        <w:tblLayout w:type="fixed"/>
        <w:tblCellMar>
          <w:left w:w="0" w:type="dxa"/>
          <w:right w:w="0" w:type="dxa"/>
        </w:tblCellMar>
        <w:tblLook w:val="01E0" w:firstRow="1" w:lastRow="1" w:firstColumn="1" w:lastColumn="1" w:noHBand="0" w:noVBand="0"/>
      </w:tblPr>
      <w:tblGrid>
        <w:gridCol w:w="6472"/>
        <w:gridCol w:w="6472"/>
      </w:tblGrid>
      <w:tr w:rsidR="00915ADB">
        <w:trPr>
          <w:trHeight w:hRule="exact" w:val="1278"/>
        </w:trPr>
        <w:tc>
          <w:tcPr>
            <w:tcW w:w="6472" w:type="dxa"/>
            <w:tcBorders>
              <w:top w:val="single" w:sz="8" w:space="0" w:color="FFFFFF"/>
              <w:left w:val="single" w:sz="8" w:space="0" w:color="FFFFFF"/>
              <w:bottom w:val="single" w:sz="24" w:space="0" w:color="FFFFFF"/>
              <w:right w:val="single" w:sz="8" w:space="0" w:color="FFFFFF"/>
            </w:tcBorders>
            <w:shd w:val="clear" w:color="auto" w:fill="4F81BC"/>
          </w:tcPr>
          <w:p w:rsidR="00915ADB" w:rsidRDefault="00CA4BE9">
            <w:pPr>
              <w:pStyle w:val="TableParagraph"/>
              <w:spacing w:before="54" w:line="432" w:lineRule="exact"/>
              <w:ind w:left="134" w:right="311"/>
              <w:rPr>
                <w:rFonts w:ascii="Calibri" w:eastAsia="Calibri" w:hAnsi="Calibri" w:cs="Calibri"/>
                <w:sz w:val="36"/>
                <w:szCs w:val="36"/>
              </w:rPr>
            </w:pPr>
            <w:r>
              <w:rPr>
                <w:rFonts w:ascii="Calibri"/>
                <w:b/>
                <w:color w:val="FFFFFF"/>
                <w:sz w:val="36"/>
              </w:rPr>
              <w:t>Major changes to Treasury operations since its establishment</w:t>
            </w:r>
          </w:p>
        </w:tc>
        <w:tc>
          <w:tcPr>
            <w:tcW w:w="6472" w:type="dxa"/>
            <w:tcBorders>
              <w:top w:val="single" w:sz="8" w:space="0" w:color="FFFFFF"/>
              <w:left w:val="single" w:sz="8" w:space="0" w:color="FFFFFF"/>
              <w:bottom w:val="single" w:sz="24" w:space="0" w:color="FFFFFF"/>
              <w:right w:val="single" w:sz="8" w:space="0" w:color="FFFFFF"/>
            </w:tcBorders>
            <w:shd w:val="clear" w:color="auto" w:fill="4F81BC"/>
          </w:tcPr>
          <w:p w:rsidR="00915ADB" w:rsidRDefault="00CA4BE9">
            <w:pPr>
              <w:pStyle w:val="TableParagraph"/>
              <w:spacing w:before="56"/>
              <w:ind w:left="136"/>
              <w:rPr>
                <w:rFonts w:ascii="Calibri" w:eastAsia="Calibri" w:hAnsi="Calibri" w:cs="Calibri"/>
                <w:sz w:val="36"/>
                <w:szCs w:val="36"/>
              </w:rPr>
            </w:pPr>
            <w:r>
              <w:rPr>
                <w:rFonts w:ascii="Calibri" w:hAnsi="Calibri"/>
                <w:b/>
                <w:color w:val="FFFFFF"/>
                <w:sz w:val="36"/>
              </w:rPr>
              <w:t>Main drivers of the change</w:t>
            </w:r>
          </w:p>
        </w:tc>
      </w:tr>
      <w:tr w:rsidR="00915ADB">
        <w:trPr>
          <w:trHeight w:hRule="exact" w:val="1278"/>
        </w:trPr>
        <w:tc>
          <w:tcPr>
            <w:tcW w:w="6472" w:type="dxa"/>
            <w:tcBorders>
              <w:top w:val="single" w:sz="24" w:space="0" w:color="FFFFFF"/>
              <w:left w:val="single" w:sz="8" w:space="0" w:color="FFFFFF"/>
              <w:bottom w:val="single" w:sz="8" w:space="0" w:color="FFFFFF"/>
              <w:right w:val="single" w:sz="8" w:space="0" w:color="FFFFFF"/>
            </w:tcBorders>
            <w:shd w:val="clear" w:color="auto" w:fill="D0D7E8"/>
          </w:tcPr>
          <w:p w:rsidR="00915ADB" w:rsidRDefault="00CA4BE9">
            <w:pPr>
              <w:pStyle w:val="TableParagraph"/>
              <w:spacing w:before="37"/>
              <w:ind w:left="134"/>
              <w:rPr>
                <w:rFonts w:ascii="Calibri" w:eastAsia="Calibri" w:hAnsi="Calibri" w:cs="Calibri"/>
                <w:sz w:val="36"/>
                <w:szCs w:val="36"/>
              </w:rPr>
            </w:pPr>
            <w:r>
              <w:rPr>
                <w:rFonts w:ascii="Calibri" w:hAnsi="Calibri"/>
                <w:sz w:val="36"/>
              </w:rPr>
              <w:t>Treasury Single Account (2001)</w:t>
            </w:r>
          </w:p>
        </w:tc>
        <w:tc>
          <w:tcPr>
            <w:tcW w:w="6472" w:type="dxa"/>
            <w:tcBorders>
              <w:top w:val="single" w:sz="24" w:space="0" w:color="FFFFFF"/>
              <w:left w:val="single" w:sz="8" w:space="0" w:color="FFFFFF"/>
              <w:bottom w:val="single" w:sz="8" w:space="0" w:color="FFFFFF"/>
              <w:right w:val="single" w:sz="8" w:space="0" w:color="FFFFFF"/>
            </w:tcBorders>
            <w:shd w:val="clear" w:color="auto" w:fill="D0D7E8"/>
          </w:tcPr>
          <w:p w:rsidR="00915ADB" w:rsidRDefault="00CA4BE9">
            <w:pPr>
              <w:pStyle w:val="TableParagraph"/>
              <w:spacing w:before="37" w:line="436" w:lineRule="exact"/>
              <w:ind w:left="136"/>
              <w:rPr>
                <w:rFonts w:ascii="Calibri" w:eastAsia="Calibri" w:hAnsi="Calibri" w:cs="Calibri"/>
                <w:sz w:val="36"/>
                <w:szCs w:val="36"/>
              </w:rPr>
            </w:pPr>
            <w:r>
              <w:rPr>
                <w:rFonts w:ascii="Calibri" w:hAnsi="Calibri"/>
                <w:sz w:val="36"/>
              </w:rPr>
              <w:t>Improved cash flow</w:t>
            </w:r>
          </w:p>
          <w:p w:rsidR="00915ADB" w:rsidRDefault="00CA4BE9">
            <w:pPr>
              <w:pStyle w:val="TableParagraph"/>
              <w:spacing w:line="436" w:lineRule="exact"/>
              <w:ind w:left="136"/>
              <w:rPr>
                <w:rFonts w:ascii="Calibri" w:eastAsia="Calibri" w:hAnsi="Calibri" w:cs="Calibri"/>
                <w:sz w:val="36"/>
                <w:szCs w:val="36"/>
              </w:rPr>
            </w:pPr>
            <w:r>
              <w:rPr>
                <w:rFonts w:ascii="Calibri"/>
                <w:sz w:val="36"/>
              </w:rPr>
              <w:t>management</w:t>
            </w:r>
          </w:p>
        </w:tc>
      </w:tr>
      <w:tr w:rsidR="00915ADB">
        <w:trPr>
          <w:trHeight w:hRule="exact" w:val="1008"/>
        </w:trPr>
        <w:tc>
          <w:tcPr>
            <w:tcW w:w="6472" w:type="dxa"/>
            <w:tcBorders>
              <w:top w:val="single" w:sz="8" w:space="0" w:color="FFFFFF"/>
              <w:left w:val="single" w:sz="8" w:space="0" w:color="FFFFFF"/>
              <w:bottom w:val="single" w:sz="8" w:space="0" w:color="FFFFFF"/>
              <w:right w:val="single" w:sz="8" w:space="0" w:color="FFFFFF"/>
            </w:tcBorders>
            <w:shd w:val="clear" w:color="auto" w:fill="E9ECF4"/>
          </w:tcPr>
          <w:p w:rsidR="00915ADB" w:rsidRDefault="00CA4BE9">
            <w:pPr>
              <w:pStyle w:val="TableParagraph"/>
              <w:spacing w:before="57" w:line="436" w:lineRule="exact"/>
              <w:ind w:left="134"/>
              <w:rPr>
                <w:rFonts w:ascii="Calibri" w:eastAsia="Calibri" w:hAnsi="Calibri" w:cs="Calibri"/>
                <w:sz w:val="36"/>
                <w:szCs w:val="36"/>
              </w:rPr>
            </w:pPr>
            <w:r>
              <w:rPr>
                <w:rFonts w:ascii="Calibri"/>
                <w:sz w:val="36"/>
              </w:rPr>
              <w:t>Introduction of a financial management</w:t>
            </w:r>
          </w:p>
          <w:p w:rsidR="00915ADB" w:rsidRDefault="00CA4BE9">
            <w:pPr>
              <w:pStyle w:val="TableParagraph"/>
              <w:spacing w:line="436" w:lineRule="exact"/>
              <w:ind w:left="134"/>
              <w:rPr>
                <w:rFonts w:ascii="Calibri" w:eastAsia="Calibri" w:hAnsi="Calibri" w:cs="Calibri"/>
                <w:sz w:val="36"/>
                <w:szCs w:val="36"/>
              </w:rPr>
            </w:pPr>
            <w:r>
              <w:rPr>
                <w:rFonts w:ascii="Calibri"/>
                <w:sz w:val="36"/>
              </w:rPr>
              <w:t>information system (2002)</w:t>
            </w:r>
          </w:p>
        </w:tc>
        <w:tc>
          <w:tcPr>
            <w:tcW w:w="6472" w:type="dxa"/>
            <w:tcBorders>
              <w:top w:val="single" w:sz="8" w:space="0" w:color="FFFFFF"/>
              <w:left w:val="single" w:sz="8" w:space="0" w:color="FFFFFF"/>
              <w:bottom w:val="single" w:sz="8" w:space="0" w:color="FFFFFF"/>
              <w:right w:val="single" w:sz="8" w:space="0" w:color="FFFFFF"/>
            </w:tcBorders>
            <w:shd w:val="clear" w:color="auto" w:fill="E9ECF4"/>
          </w:tcPr>
          <w:p w:rsidR="00915ADB" w:rsidRDefault="00CA4BE9">
            <w:pPr>
              <w:pStyle w:val="TableParagraph"/>
              <w:spacing w:before="57" w:line="436" w:lineRule="exact"/>
              <w:ind w:left="136"/>
              <w:rPr>
                <w:rFonts w:ascii="Calibri" w:eastAsia="Calibri" w:hAnsi="Calibri" w:cs="Calibri"/>
                <w:sz w:val="36"/>
                <w:szCs w:val="36"/>
              </w:rPr>
            </w:pPr>
            <w:r>
              <w:rPr>
                <w:rFonts w:ascii="Calibri" w:hAnsi="Calibri"/>
                <w:sz w:val="36"/>
              </w:rPr>
              <w:t>Automated control of</w:t>
            </w:r>
          </w:p>
          <w:p w:rsidR="00915ADB" w:rsidRDefault="00CA4BE9">
            <w:pPr>
              <w:pStyle w:val="TableParagraph"/>
              <w:spacing w:line="436" w:lineRule="exact"/>
              <w:ind w:left="136"/>
              <w:rPr>
                <w:rFonts w:ascii="Calibri" w:eastAsia="Calibri" w:hAnsi="Calibri" w:cs="Calibri"/>
                <w:sz w:val="36"/>
                <w:szCs w:val="36"/>
              </w:rPr>
            </w:pPr>
            <w:r>
              <w:rPr>
                <w:rFonts w:ascii="Calibri" w:hAnsi="Calibri"/>
                <w:sz w:val="36"/>
              </w:rPr>
              <w:t>budget spending</w:t>
            </w:r>
          </w:p>
        </w:tc>
      </w:tr>
      <w:tr w:rsidR="00915ADB">
        <w:trPr>
          <w:trHeight w:hRule="exact" w:val="1278"/>
        </w:trPr>
        <w:tc>
          <w:tcPr>
            <w:tcW w:w="6472" w:type="dxa"/>
            <w:tcBorders>
              <w:top w:val="single" w:sz="8" w:space="0" w:color="FFFFFF"/>
              <w:left w:val="single" w:sz="8" w:space="0" w:color="FFFFFF"/>
              <w:bottom w:val="single" w:sz="8" w:space="0" w:color="FFFFFF"/>
              <w:right w:val="single" w:sz="8" w:space="0" w:color="FFFFFF"/>
            </w:tcBorders>
            <w:shd w:val="clear" w:color="auto" w:fill="D0D7E8"/>
          </w:tcPr>
          <w:p w:rsidR="00915ADB" w:rsidRDefault="00CA4BE9">
            <w:pPr>
              <w:pStyle w:val="TableParagraph"/>
              <w:spacing w:before="58" w:line="436" w:lineRule="exact"/>
              <w:ind w:left="134"/>
              <w:rPr>
                <w:rFonts w:ascii="Calibri" w:eastAsia="Calibri" w:hAnsi="Calibri" w:cs="Calibri"/>
                <w:sz w:val="36"/>
                <w:szCs w:val="36"/>
              </w:rPr>
            </w:pPr>
            <w:r>
              <w:rPr>
                <w:rFonts w:ascii="Calibri" w:hAnsi="Calibri"/>
                <w:sz w:val="36"/>
              </w:rPr>
              <w:t>Introduction of a system for centralised</w:t>
            </w:r>
          </w:p>
          <w:p w:rsidR="00915ADB" w:rsidRDefault="00CA4BE9">
            <w:pPr>
              <w:pStyle w:val="TableParagraph"/>
              <w:spacing w:line="436" w:lineRule="exact"/>
              <w:ind w:left="134"/>
              <w:rPr>
                <w:rFonts w:ascii="Calibri" w:eastAsia="Calibri" w:hAnsi="Calibri" w:cs="Calibri"/>
                <w:sz w:val="36"/>
                <w:szCs w:val="36"/>
              </w:rPr>
            </w:pPr>
            <w:r>
              <w:rPr>
                <w:rFonts w:ascii="Calibri" w:hAnsi="Calibri"/>
                <w:sz w:val="36"/>
              </w:rPr>
              <w:t>payroll and the payment of wages (2004)</w:t>
            </w:r>
          </w:p>
        </w:tc>
        <w:tc>
          <w:tcPr>
            <w:tcW w:w="6472" w:type="dxa"/>
            <w:tcBorders>
              <w:top w:val="single" w:sz="8" w:space="0" w:color="FFFFFF"/>
              <w:left w:val="single" w:sz="8" w:space="0" w:color="FFFFFF"/>
              <w:bottom w:val="single" w:sz="8" w:space="0" w:color="FFFFFF"/>
              <w:right w:val="single" w:sz="8" w:space="0" w:color="FFFFFF"/>
            </w:tcBorders>
            <w:shd w:val="clear" w:color="auto" w:fill="D0D7E8"/>
          </w:tcPr>
          <w:p w:rsidR="00915ADB" w:rsidRDefault="00CA4BE9">
            <w:pPr>
              <w:pStyle w:val="TableParagraph"/>
              <w:spacing w:before="58" w:line="436" w:lineRule="exact"/>
              <w:ind w:left="136"/>
              <w:rPr>
                <w:rFonts w:ascii="Calibri" w:eastAsia="Calibri" w:hAnsi="Calibri" w:cs="Calibri"/>
                <w:sz w:val="36"/>
                <w:szCs w:val="36"/>
              </w:rPr>
            </w:pPr>
            <w:r>
              <w:rPr>
                <w:rFonts w:ascii="Calibri" w:hAnsi="Calibri"/>
                <w:sz w:val="36"/>
              </w:rPr>
              <w:t>Single payroll and payment of wages</w:t>
            </w:r>
          </w:p>
          <w:p w:rsidR="00915ADB" w:rsidRDefault="00CA4BE9">
            <w:pPr>
              <w:pStyle w:val="TableParagraph"/>
              <w:spacing w:line="436" w:lineRule="exact"/>
              <w:ind w:left="136"/>
              <w:rPr>
                <w:rFonts w:ascii="Calibri" w:eastAsia="Calibri" w:hAnsi="Calibri" w:cs="Calibri"/>
                <w:sz w:val="36"/>
                <w:szCs w:val="36"/>
              </w:rPr>
            </w:pPr>
            <w:r>
              <w:rPr>
                <w:rFonts w:ascii="Calibri"/>
                <w:sz w:val="36"/>
              </w:rPr>
              <w:t>to employees of Bosnia and Herzegovina institutions</w:t>
            </w:r>
          </w:p>
        </w:tc>
      </w:tr>
      <w:tr w:rsidR="00915ADB">
        <w:trPr>
          <w:trHeight w:hRule="exact" w:val="1008"/>
        </w:trPr>
        <w:tc>
          <w:tcPr>
            <w:tcW w:w="6472" w:type="dxa"/>
            <w:tcBorders>
              <w:top w:val="single" w:sz="8" w:space="0" w:color="FFFFFF"/>
              <w:left w:val="single" w:sz="8" w:space="0" w:color="FFFFFF"/>
              <w:bottom w:val="single" w:sz="8" w:space="0" w:color="FFFFFF"/>
              <w:right w:val="single" w:sz="8" w:space="0" w:color="FFFFFF"/>
            </w:tcBorders>
            <w:shd w:val="clear" w:color="auto" w:fill="E9ECF4"/>
          </w:tcPr>
          <w:p w:rsidR="00915ADB" w:rsidRDefault="00CA4BE9">
            <w:pPr>
              <w:pStyle w:val="TableParagraph"/>
              <w:spacing w:before="56" w:line="432" w:lineRule="exact"/>
              <w:ind w:left="134" w:right="142"/>
              <w:rPr>
                <w:rFonts w:ascii="Calibri" w:eastAsia="Calibri" w:hAnsi="Calibri" w:cs="Calibri"/>
                <w:sz w:val="36"/>
                <w:szCs w:val="36"/>
              </w:rPr>
            </w:pPr>
            <w:r>
              <w:rPr>
                <w:rFonts w:ascii="Calibri" w:hAnsi="Calibri"/>
                <w:sz w:val="36"/>
              </w:rPr>
              <w:t>Entry of public debt of Bosnia and Herzegovina into the treasury general ledger (2015)</w:t>
            </w:r>
          </w:p>
        </w:tc>
        <w:tc>
          <w:tcPr>
            <w:tcW w:w="6472" w:type="dxa"/>
            <w:tcBorders>
              <w:top w:val="single" w:sz="8" w:space="0" w:color="FFFFFF"/>
              <w:left w:val="single" w:sz="8" w:space="0" w:color="FFFFFF"/>
              <w:bottom w:val="single" w:sz="8" w:space="0" w:color="FFFFFF"/>
              <w:right w:val="single" w:sz="8" w:space="0" w:color="FFFFFF"/>
            </w:tcBorders>
            <w:shd w:val="clear" w:color="auto" w:fill="E9ECF4"/>
          </w:tcPr>
          <w:p w:rsidR="00915ADB" w:rsidRDefault="00CA4BE9">
            <w:pPr>
              <w:pStyle w:val="TableParagraph"/>
              <w:spacing w:before="59"/>
              <w:ind w:left="136"/>
              <w:rPr>
                <w:rFonts w:ascii="Calibri" w:eastAsia="Calibri" w:hAnsi="Calibri" w:cs="Calibri"/>
                <w:sz w:val="36"/>
                <w:szCs w:val="36"/>
              </w:rPr>
            </w:pPr>
            <w:r>
              <w:rPr>
                <w:rFonts w:ascii="Calibri"/>
                <w:sz w:val="36"/>
              </w:rPr>
              <w:t>More efficient public debt management</w:t>
            </w:r>
          </w:p>
        </w:tc>
      </w:tr>
      <w:tr w:rsidR="00915ADB">
        <w:trPr>
          <w:trHeight w:hRule="exact" w:val="740"/>
        </w:trPr>
        <w:tc>
          <w:tcPr>
            <w:tcW w:w="6472" w:type="dxa"/>
            <w:tcBorders>
              <w:top w:val="single" w:sz="8" w:space="0" w:color="FFFFFF"/>
              <w:left w:val="single" w:sz="8" w:space="0" w:color="FFFFFF"/>
              <w:bottom w:val="single" w:sz="8" w:space="0" w:color="FFFFFF"/>
              <w:right w:val="single" w:sz="8" w:space="0" w:color="FFFFFF"/>
            </w:tcBorders>
            <w:shd w:val="clear" w:color="auto" w:fill="D0D7E8"/>
          </w:tcPr>
          <w:p w:rsidR="00915ADB" w:rsidRDefault="00915ADB"/>
        </w:tc>
        <w:tc>
          <w:tcPr>
            <w:tcW w:w="6472" w:type="dxa"/>
            <w:tcBorders>
              <w:top w:val="single" w:sz="8" w:space="0" w:color="FFFFFF"/>
              <w:left w:val="single" w:sz="8" w:space="0" w:color="FFFFFF"/>
              <w:bottom w:val="single" w:sz="8" w:space="0" w:color="FFFFFF"/>
              <w:right w:val="single" w:sz="8" w:space="0" w:color="FFFFFF"/>
            </w:tcBorders>
            <w:shd w:val="clear" w:color="auto" w:fill="D0D7E8"/>
          </w:tcPr>
          <w:p w:rsidR="00915ADB" w:rsidRDefault="00915ADB"/>
        </w:tc>
      </w:tr>
    </w:tbl>
    <w:p w:rsidR="00915ADB" w:rsidRDefault="00915ADB"/>
    <w:p w:rsidR="003368E0" w:rsidRDefault="003368E0"/>
    <w:p w:rsidR="003368E0" w:rsidRDefault="003368E0">
      <w:pPr>
        <w:sectPr w:rsidR="003368E0">
          <w:headerReference w:type="default" r:id="rId10"/>
          <w:pgSz w:w="14400" w:h="10800" w:orient="landscape"/>
          <w:pgMar w:top="1760" w:right="600" w:bottom="280" w:left="400" w:header="864" w:footer="0" w:gutter="0"/>
          <w:cols w:space="720"/>
        </w:sectPr>
      </w:pPr>
    </w:p>
    <w:p w:rsidR="003368E0" w:rsidRPr="003368E0" w:rsidRDefault="003368E0" w:rsidP="003368E0">
      <w:pPr>
        <w:pStyle w:val="Heading2"/>
        <w:tabs>
          <w:tab w:val="left" w:pos="1007"/>
        </w:tabs>
        <w:spacing w:before="716" w:line="727" w:lineRule="exact"/>
        <w:ind w:firstLine="0"/>
        <w:rPr>
          <w:rFonts w:cs="Calibri"/>
          <w:sz w:val="52"/>
          <w:szCs w:val="52"/>
        </w:rPr>
      </w:pPr>
      <w:r w:rsidRPr="003368E0">
        <w:rPr>
          <w:rFonts w:cs="Calibri"/>
          <w:sz w:val="52"/>
          <w:szCs w:val="52"/>
        </w:rPr>
        <w:lastRenderedPageBreak/>
        <w:t>Future reforms and challenges</w:t>
      </w:r>
    </w:p>
    <w:p w:rsidR="00915ADB" w:rsidRPr="003368E0" w:rsidRDefault="00CA4BE9" w:rsidP="003368E0">
      <w:pPr>
        <w:pStyle w:val="Heading2"/>
        <w:numPr>
          <w:ilvl w:val="0"/>
          <w:numId w:val="1"/>
        </w:numPr>
        <w:tabs>
          <w:tab w:val="left" w:pos="1007"/>
        </w:tabs>
        <w:spacing w:before="716" w:line="727" w:lineRule="exact"/>
        <w:ind w:hanging="542"/>
        <w:rPr>
          <w:rFonts w:cs="Calibri"/>
          <w:sz w:val="28"/>
          <w:szCs w:val="28"/>
        </w:rPr>
      </w:pPr>
      <w:r w:rsidRPr="003368E0">
        <w:rPr>
          <w:sz w:val="28"/>
          <w:szCs w:val="28"/>
        </w:rPr>
        <w:t>Drafting a new public financial management strategy</w:t>
      </w:r>
      <w:r w:rsidR="003368E0">
        <w:rPr>
          <w:sz w:val="28"/>
          <w:szCs w:val="28"/>
        </w:rPr>
        <w:t xml:space="preserve"> </w:t>
      </w:r>
      <w:r w:rsidRPr="003368E0">
        <w:rPr>
          <w:sz w:val="28"/>
          <w:szCs w:val="28"/>
        </w:rPr>
        <w:t>for Bosnia and Herzegovina</w:t>
      </w:r>
    </w:p>
    <w:p w:rsidR="00915ADB" w:rsidRPr="003368E0" w:rsidRDefault="00CA4BE9" w:rsidP="003368E0">
      <w:pPr>
        <w:pStyle w:val="ListParagraph"/>
        <w:numPr>
          <w:ilvl w:val="0"/>
          <w:numId w:val="1"/>
        </w:numPr>
        <w:tabs>
          <w:tab w:val="left" w:pos="1007"/>
        </w:tabs>
        <w:spacing w:before="132" w:line="726" w:lineRule="exact"/>
        <w:ind w:hanging="542"/>
        <w:rPr>
          <w:rFonts w:ascii="Calibri" w:eastAsia="Calibri" w:hAnsi="Calibri" w:cs="Calibri"/>
          <w:sz w:val="28"/>
          <w:szCs w:val="28"/>
        </w:rPr>
      </w:pPr>
      <w:r w:rsidRPr="003368E0">
        <w:rPr>
          <w:rFonts w:ascii="Calibri"/>
          <w:sz w:val="28"/>
          <w:szCs w:val="28"/>
        </w:rPr>
        <w:t>The Treasury of Bosnia and Herzegovina will, in accordance with the regulations, work on</w:t>
      </w:r>
      <w:r w:rsidR="003368E0">
        <w:rPr>
          <w:rFonts w:ascii="Calibri"/>
          <w:sz w:val="28"/>
          <w:szCs w:val="28"/>
        </w:rPr>
        <w:t xml:space="preserve"> </w:t>
      </w:r>
      <w:r w:rsidRPr="003368E0">
        <w:rPr>
          <w:rFonts w:ascii="Calibri" w:hAnsi="Calibri"/>
          <w:sz w:val="28"/>
          <w:szCs w:val="28"/>
        </w:rPr>
        <w:t>improving public financial management in Bosnia and Herzegovina</w:t>
      </w:r>
    </w:p>
    <w:p w:rsidR="00915ADB" w:rsidRPr="003368E0" w:rsidRDefault="00CA4BE9" w:rsidP="003368E0">
      <w:pPr>
        <w:pStyle w:val="ListParagraph"/>
        <w:numPr>
          <w:ilvl w:val="0"/>
          <w:numId w:val="1"/>
        </w:numPr>
        <w:tabs>
          <w:tab w:val="left" w:pos="1007"/>
        </w:tabs>
        <w:spacing w:before="132" w:line="727" w:lineRule="exact"/>
        <w:ind w:hanging="542"/>
        <w:rPr>
          <w:rFonts w:ascii="Calibri" w:eastAsia="Calibri" w:hAnsi="Calibri" w:cs="Calibri"/>
          <w:sz w:val="28"/>
          <w:szCs w:val="28"/>
        </w:rPr>
      </w:pPr>
      <w:r w:rsidRPr="003368E0">
        <w:rPr>
          <w:rFonts w:ascii="Calibri" w:hAnsi="Calibri"/>
          <w:sz w:val="28"/>
          <w:szCs w:val="28"/>
        </w:rPr>
        <w:t>Considering the specific structure of the Treasury of Bosnia and Herzegovina, the risk</w:t>
      </w:r>
      <w:r w:rsidR="003368E0">
        <w:rPr>
          <w:rFonts w:ascii="Calibri" w:hAnsi="Calibri"/>
          <w:sz w:val="28"/>
          <w:szCs w:val="28"/>
        </w:rPr>
        <w:t xml:space="preserve"> </w:t>
      </w:r>
      <w:r w:rsidRPr="003368E0">
        <w:rPr>
          <w:rFonts w:ascii="Calibri"/>
          <w:sz w:val="28"/>
          <w:szCs w:val="28"/>
        </w:rPr>
        <w:t>has been minimised</w:t>
      </w:r>
    </w:p>
    <w:p w:rsidR="00915ADB" w:rsidRPr="003368E0" w:rsidRDefault="00CA4BE9">
      <w:pPr>
        <w:pStyle w:val="ListParagraph"/>
        <w:numPr>
          <w:ilvl w:val="0"/>
          <w:numId w:val="1"/>
        </w:numPr>
        <w:tabs>
          <w:tab w:val="left" w:pos="1007"/>
        </w:tabs>
        <w:spacing w:before="143" w:line="235" w:lineRule="auto"/>
        <w:ind w:right="396" w:hanging="542"/>
        <w:rPr>
          <w:rFonts w:ascii="Calibri" w:eastAsia="Calibri" w:hAnsi="Calibri" w:cs="Calibri"/>
          <w:sz w:val="28"/>
          <w:szCs w:val="28"/>
        </w:rPr>
      </w:pPr>
      <w:r w:rsidRPr="003368E0">
        <w:rPr>
          <w:rFonts w:ascii="Calibri" w:hAnsi="Calibri"/>
          <w:sz w:val="28"/>
          <w:szCs w:val="28"/>
        </w:rPr>
        <w:t xml:space="preserve">Steps affecting risk minimisation are the overall control of budget </w:t>
      </w:r>
      <w:r w:rsidR="003368E0">
        <w:rPr>
          <w:rFonts w:ascii="Calibri" w:hAnsi="Calibri"/>
          <w:sz w:val="28"/>
          <w:szCs w:val="28"/>
        </w:rPr>
        <w:t xml:space="preserve">resource spending in Bosnia and </w:t>
      </w:r>
      <w:r w:rsidRPr="003368E0">
        <w:rPr>
          <w:rFonts w:ascii="Calibri" w:hAnsi="Calibri"/>
          <w:sz w:val="28"/>
          <w:szCs w:val="28"/>
        </w:rPr>
        <w:t>Herzegovina institutions</w:t>
      </w:r>
    </w:p>
    <w:sectPr w:rsidR="00915ADB" w:rsidRPr="003368E0">
      <w:pgSz w:w="14400" w:h="10800" w:orient="landscape"/>
      <w:pgMar w:top="1760" w:right="800" w:bottom="280" w:left="400" w:header="86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D8" w:rsidRDefault="00CA4BE9">
      <w:r>
        <w:separator/>
      </w:r>
    </w:p>
  </w:endnote>
  <w:endnote w:type="continuationSeparator" w:id="0">
    <w:p w:rsidR="00013ED8" w:rsidRDefault="00CA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D8" w:rsidRDefault="00CA4BE9">
      <w:r>
        <w:separator/>
      </w:r>
    </w:p>
  </w:footnote>
  <w:footnote w:type="continuationSeparator" w:id="0">
    <w:p w:rsidR="00013ED8" w:rsidRDefault="00CA4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ADB" w:rsidRDefault="005F6E86">
    <w:pPr>
      <w:spacing w:line="14" w:lineRule="auto"/>
      <w:rPr>
        <w:sz w:val="20"/>
        <w:szCs w:val="20"/>
      </w:rPr>
    </w:pPr>
    <w:r>
      <w:rPr>
        <w:noProof/>
        <w:lang w:val="en-US" w:eastAsia="en-US" w:bidi="ar-SA"/>
      </w:rPr>
      <mc:AlternateContent>
        <mc:Choice Requires="wps">
          <w:drawing>
            <wp:anchor distT="0" distB="0" distL="114300" distR="114300" simplePos="0" relativeHeight="503310896" behindDoc="1" locked="0" layoutInCell="1" allowOverlap="1">
              <wp:simplePos x="0" y="0"/>
              <wp:positionH relativeFrom="page">
                <wp:posOffset>1574165</wp:posOffset>
              </wp:positionH>
              <wp:positionV relativeFrom="page">
                <wp:posOffset>604520</wp:posOffset>
              </wp:positionV>
              <wp:extent cx="6877685" cy="583565"/>
              <wp:effectExtent l="2540" t="4445"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ADB" w:rsidRPr="003368E0" w:rsidRDefault="003368E0">
                          <w:pPr>
                            <w:tabs>
                              <w:tab w:val="left" w:pos="3148"/>
                              <w:tab w:val="left" w:pos="5873"/>
                            </w:tabs>
                            <w:spacing w:line="915" w:lineRule="exact"/>
                            <w:ind w:left="20"/>
                            <w:rPr>
                              <w:rFonts w:ascii="Calibri" w:eastAsia="Calibri" w:hAnsi="Calibri" w:cs="Calibri"/>
                              <w:sz w:val="52"/>
                              <w:szCs w:val="52"/>
                            </w:rPr>
                          </w:pPr>
                          <w:r w:rsidRPr="003368E0">
                            <w:rPr>
                              <w:sz w:val="52"/>
                              <w:szCs w:val="52"/>
                            </w:rPr>
                            <w:t xml:space="preserve">Treasury functions in </w:t>
                          </w:r>
                          <w:r w:rsidR="00CA4BE9" w:rsidRPr="003368E0">
                            <w:rPr>
                              <w:sz w:val="52"/>
                              <w:szCs w:val="52"/>
                            </w:rPr>
                            <w:t>Bosnia and Herzegovina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3.95pt;margin-top:47.6pt;width:541.55pt;height:45.9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lYrAIAAKk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" filled="f" stroked="f">
              <v:textbox inset="0,0,0,0">
                <w:txbxContent>
                  <w:p w:rsidR="00915ADB" w:rsidRPr="003368E0" w:rsidRDefault="003368E0">
                    <w:pPr>
                      <w:tabs>
                        <w:tab w:val="left" w:pos="3148"/>
                        <w:tab w:val="left" w:pos="5873"/>
                      </w:tabs>
                      <w:spacing w:line="915" w:lineRule="exact"/>
                      <w:ind w:left="20"/>
                      <w:rPr>
                        <w:rFonts w:ascii="Calibri" w:eastAsia="Calibri" w:hAnsi="Calibri" w:cs="Calibri"/>
                        <w:sz w:val="52"/>
                        <w:szCs w:val="52"/>
                      </w:rPr>
                    </w:pPr>
                    <w:r w:rsidRPr="003368E0">
                      <w:rPr>
                        <w:sz w:val="52"/>
                        <w:szCs w:val="52"/>
                      </w:rPr>
                      <w:t xml:space="preserve">Treasury functions in </w:t>
                    </w:r>
                    <w:r w:rsidR="00CA4BE9" w:rsidRPr="003368E0">
                      <w:rPr>
                        <w:sz w:val="52"/>
                        <w:szCs w:val="52"/>
                      </w:rPr>
                      <w:t>Bosnia and Herzegovina</w:t>
                    </w:r>
                  </w:p>
                </w:txbxContent>
              </v:textbox>
              <w10:wrap anchorx="page" anchory="page"/>
            </v:shape>
          </w:pict>
        </mc:Fallback>
      </mc:AlternateContent>
    </w:r>
    <w:r>
      <w:rPr>
        <w:noProof/>
        <w:lang w:val="en-US" w:eastAsia="en-US" w:bidi="ar-SA"/>
      </w:rPr>
      <w:drawing>
        <wp:anchor distT="0" distB="0" distL="114300" distR="114300" simplePos="0" relativeHeight="503310872" behindDoc="1" locked="0" layoutInCell="1" allowOverlap="1">
          <wp:simplePos x="0" y="0"/>
          <wp:positionH relativeFrom="page">
            <wp:posOffset>323850</wp:posOffset>
          </wp:positionH>
          <wp:positionV relativeFrom="page">
            <wp:posOffset>548640</wp:posOffset>
          </wp:positionV>
          <wp:extent cx="469900" cy="5715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ADB" w:rsidRDefault="005F6E86">
    <w:pPr>
      <w:spacing w:line="14" w:lineRule="auto"/>
      <w:rPr>
        <w:sz w:val="20"/>
        <w:szCs w:val="20"/>
      </w:rPr>
    </w:pPr>
    <w:r>
      <w:rPr>
        <w:noProof/>
        <w:lang w:val="en-US" w:eastAsia="en-US" w:bidi="ar-SA"/>
      </w:rPr>
      <w:drawing>
        <wp:anchor distT="0" distB="0" distL="114300" distR="114300" simplePos="0" relativeHeight="503310920" behindDoc="1" locked="0" layoutInCell="1" allowOverlap="1">
          <wp:simplePos x="0" y="0"/>
          <wp:positionH relativeFrom="page">
            <wp:posOffset>323850</wp:posOffset>
          </wp:positionH>
          <wp:positionV relativeFrom="page">
            <wp:posOffset>548640</wp:posOffset>
          </wp:positionV>
          <wp:extent cx="469900" cy="571500"/>
          <wp:effectExtent l="0" t="0" r="635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114300" distR="114300" simplePos="0" relativeHeight="503310944" behindDoc="1" locked="0" layoutInCell="1" allowOverlap="1">
              <wp:simplePos x="0" y="0"/>
              <wp:positionH relativeFrom="page">
                <wp:posOffset>2314575</wp:posOffset>
              </wp:positionH>
              <wp:positionV relativeFrom="page">
                <wp:posOffset>604520</wp:posOffset>
              </wp:positionV>
              <wp:extent cx="4518025" cy="583565"/>
              <wp:effectExtent l="0" t="444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ADB" w:rsidRPr="003368E0" w:rsidRDefault="003368E0">
                          <w:pPr>
                            <w:tabs>
                              <w:tab w:val="left" w:pos="3528"/>
                            </w:tabs>
                            <w:spacing w:line="915" w:lineRule="exact"/>
                            <w:ind w:left="20"/>
                            <w:rPr>
                              <w:rFonts w:ascii="Calibri" w:eastAsia="Calibri" w:hAnsi="Calibri" w:cs="Calibri"/>
                              <w:sz w:val="52"/>
                              <w:szCs w:val="52"/>
                            </w:rPr>
                          </w:pPr>
                          <w:r w:rsidRPr="003368E0">
                            <w:rPr>
                              <w:sz w:val="52"/>
                              <w:szCs w:val="52"/>
                            </w:rPr>
                            <w:t xml:space="preserve">Strategic </w:t>
                          </w:r>
                          <w:r w:rsidR="00CA4BE9" w:rsidRPr="003368E0">
                            <w:rPr>
                              <w:sz w:val="52"/>
                              <w:szCs w:val="52"/>
                            </w:rPr>
                            <w:t>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2.25pt;margin-top:47.6pt;width:355.75pt;height:45.9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U0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" filled="f" stroked="f">
              <v:textbox inset="0,0,0,0">
                <w:txbxContent>
                  <w:p w:rsidR="00915ADB" w:rsidRPr="003368E0" w:rsidRDefault="003368E0">
                    <w:pPr>
                      <w:tabs>
                        <w:tab w:val="left" w:pos="3528"/>
                      </w:tabs>
                      <w:spacing w:line="915" w:lineRule="exact"/>
                      <w:ind w:left="20"/>
                      <w:rPr>
                        <w:rFonts w:ascii="Calibri" w:eastAsia="Calibri" w:hAnsi="Calibri" w:cs="Calibri"/>
                        <w:sz w:val="52"/>
                        <w:szCs w:val="52"/>
                      </w:rPr>
                    </w:pPr>
                    <w:r w:rsidRPr="003368E0">
                      <w:rPr>
                        <w:sz w:val="52"/>
                        <w:szCs w:val="52"/>
                      </w:rPr>
                      <w:t xml:space="preserve">Strategic </w:t>
                    </w:r>
                    <w:r w:rsidR="00CA4BE9" w:rsidRPr="003368E0">
                      <w:rPr>
                        <w:sz w:val="52"/>
                        <w:szCs w:val="52"/>
                      </w:rPr>
                      <w:t>planning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ADB" w:rsidRDefault="005F6E86">
    <w:pPr>
      <w:spacing w:line="14" w:lineRule="auto"/>
      <w:rPr>
        <w:sz w:val="20"/>
        <w:szCs w:val="20"/>
      </w:rPr>
    </w:pPr>
    <w:r>
      <w:rPr>
        <w:noProof/>
        <w:lang w:val="en-US" w:eastAsia="en-US" w:bidi="ar-SA"/>
      </w:rPr>
      <w:drawing>
        <wp:anchor distT="0" distB="0" distL="114300" distR="114300" simplePos="0" relativeHeight="503310968" behindDoc="1" locked="0" layoutInCell="1" allowOverlap="1">
          <wp:simplePos x="0" y="0"/>
          <wp:positionH relativeFrom="page">
            <wp:posOffset>323850</wp:posOffset>
          </wp:positionH>
          <wp:positionV relativeFrom="page">
            <wp:posOffset>548640</wp:posOffset>
          </wp:positionV>
          <wp:extent cx="469900" cy="571500"/>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pic:spPr>
              </pic:pic>
            </a:graphicData>
          </a:graphic>
          <wp14:sizeRelH relativeFrom="page">
            <wp14:pctWidth>0</wp14:pctWidth>
          </wp14:sizeRelH>
          <wp14:sizeRelV relativeFrom="page">
            <wp14:pctHeight>0</wp14:pctHeight>
          </wp14:sizeRelV>
        </wp:anchor>
      </w:drawing>
    </w:r>
    <w:r w:rsidR="003368E0">
      <w:rPr>
        <w:sz w:val="20"/>
        <w:szCs w:val="20"/>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A6805"/>
    <w:multiLevelType w:val="hybridMultilevel"/>
    <w:tmpl w:val="9B94168C"/>
    <w:lvl w:ilvl="0" w:tplc="7C5C505E">
      <w:start w:val="1"/>
      <w:numFmt w:val="bullet"/>
      <w:lvlText w:val="•"/>
      <w:lvlJc w:val="left"/>
      <w:pPr>
        <w:ind w:left="1006" w:hanging="543"/>
      </w:pPr>
      <w:rPr>
        <w:rFonts w:ascii="Arial" w:eastAsia="Arial" w:hAnsi="Arial" w:hint="default"/>
      </w:rPr>
    </w:lvl>
    <w:lvl w:ilvl="1" w:tplc="BC689C84">
      <w:start w:val="1"/>
      <w:numFmt w:val="bullet"/>
      <w:lvlText w:val="–"/>
      <w:lvlJc w:val="left"/>
      <w:pPr>
        <w:ind w:left="1635" w:hanging="452"/>
      </w:pPr>
      <w:rPr>
        <w:rFonts w:ascii="Arial" w:eastAsia="Arial" w:hAnsi="Arial" w:hint="default"/>
        <w:w w:val="100"/>
      </w:rPr>
    </w:lvl>
    <w:lvl w:ilvl="2" w:tplc="1996E2D8">
      <w:start w:val="1"/>
      <w:numFmt w:val="bullet"/>
      <w:lvlText w:val="•"/>
      <w:lvlJc w:val="left"/>
      <w:pPr>
        <w:ind w:left="2784" w:hanging="452"/>
      </w:pPr>
      <w:rPr>
        <w:rFonts w:hint="default"/>
      </w:rPr>
    </w:lvl>
    <w:lvl w:ilvl="3" w:tplc="36689E18">
      <w:start w:val="1"/>
      <w:numFmt w:val="bullet"/>
      <w:lvlText w:val="•"/>
      <w:lvlJc w:val="left"/>
      <w:pPr>
        <w:ind w:left="3928" w:hanging="452"/>
      </w:pPr>
      <w:rPr>
        <w:rFonts w:hint="default"/>
      </w:rPr>
    </w:lvl>
    <w:lvl w:ilvl="4" w:tplc="A2BA5474">
      <w:start w:val="1"/>
      <w:numFmt w:val="bullet"/>
      <w:lvlText w:val="•"/>
      <w:lvlJc w:val="left"/>
      <w:pPr>
        <w:ind w:left="5073" w:hanging="452"/>
      </w:pPr>
      <w:rPr>
        <w:rFonts w:hint="default"/>
      </w:rPr>
    </w:lvl>
    <w:lvl w:ilvl="5" w:tplc="4F888D34">
      <w:start w:val="1"/>
      <w:numFmt w:val="bullet"/>
      <w:lvlText w:val="•"/>
      <w:lvlJc w:val="left"/>
      <w:pPr>
        <w:ind w:left="6217" w:hanging="452"/>
      </w:pPr>
      <w:rPr>
        <w:rFonts w:hint="default"/>
      </w:rPr>
    </w:lvl>
    <w:lvl w:ilvl="6" w:tplc="9FE223D2">
      <w:start w:val="1"/>
      <w:numFmt w:val="bullet"/>
      <w:lvlText w:val="•"/>
      <w:lvlJc w:val="left"/>
      <w:pPr>
        <w:ind w:left="7362" w:hanging="452"/>
      </w:pPr>
      <w:rPr>
        <w:rFonts w:hint="default"/>
      </w:rPr>
    </w:lvl>
    <w:lvl w:ilvl="7" w:tplc="9224F36E">
      <w:start w:val="1"/>
      <w:numFmt w:val="bullet"/>
      <w:lvlText w:val="•"/>
      <w:lvlJc w:val="left"/>
      <w:pPr>
        <w:ind w:left="8506" w:hanging="452"/>
      </w:pPr>
      <w:rPr>
        <w:rFonts w:hint="default"/>
      </w:rPr>
    </w:lvl>
    <w:lvl w:ilvl="8" w:tplc="57247D52">
      <w:start w:val="1"/>
      <w:numFmt w:val="bullet"/>
      <w:lvlText w:val="•"/>
      <w:lvlJc w:val="left"/>
      <w:pPr>
        <w:ind w:left="9651" w:hanging="4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DB"/>
    <w:rsid w:val="00013ED8"/>
    <w:rsid w:val="003368E0"/>
    <w:rsid w:val="005F6E86"/>
    <w:rsid w:val="00915ADB"/>
    <w:rsid w:val="00CA4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A161322-D759-4C61-A39F-D6D916ED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Calibri" w:eastAsia="Calibri" w:hAnsi="Calibri"/>
      <w:sz w:val="88"/>
      <w:szCs w:val="88"/>
    </w:rPr>
  </w:style>
  <w:style w:type="paragraph" w:styleId="Heading2">
    <w:name w:val="heading 2"/>
    <w:basedOn w:val="Normal"/>
    <w:uiPriority w:val="1"/>
    <w:qFormat/>
    <w:pPr>
      <w:ind w:left="1006" w:hanging="542"/>
      <w:outlineLvl w:val="1"/>
    </w:pPr>
    <w:rPr>
      <w:rFonts w:ascii="Calibri" w:eastAsia="Calibri" w:hAnsi="Calibri"/>
      <w:sz w:val="60"/>
      <w:szCs w:val="60"/>
    </w:rPr>
  </w:style>
  <w:style w:type="paragraph" w:styleId="Heading3">
    <w:name w:val="heading 3"/>
    <w:basedOn w:val="Normal"/>
    <w:uiPriority w:val="1"/>
    <w:qFormat/>
    <w:pPr>
      <w:ind w:left="1006" w:hanging="542"/>
      <w:outlineLvl w:val="2"/>
    </w:pPr>
    <w:rPr>
      <w:rFonts w:ascii="Calibri" w:eastAsia="Calibri" w:hAnsi="Calibri"/>
      <w:sz w:val="48"/>
      <w:szCs w:val="48"/>
    </w:rPr>
  </w:style>
  <w:style w:type="paragraph" w:styleId="Heading4">
    <w:name w:val="heading 4"/>
    <w:basedOn w:val="Normal"/>
    <w:uiPriority w:val="1"/>
    <w:qFormat/>
    <w:pPr>
      <w:ind w:left="1006" w:hanging="542"/>
      <w:outlineLvl w:val="3"/>
    </w:pPr>
    <w:rPr>
      <w:rFonts w:ascii="Calibri" w:eastAsia="Calibri" w:hAnsi="Calibri"/>
      <w:sz w:val="40"/>
      <w:szCs w:val="40"/>
    </w:rPr>
  </w:style>
  <w:style w:type="paragraph" w:styleId="Heading5">
    <w:name w:val="heading 5"/>
    <w:basedOn w:val="Normal"/>
    <w:uiPriority w:val="1"/>
    <w:qFormat/>
    <w:pPr>
      <w:ind w:left="1635" w:hanging="451"/>
      <w:outlineLvl w:val="4"/>
    </w:pPr>
    <w:rPr>
      <w:rFonts w:ascii="Calibri" w:eastAsia="Calibri" w:hAnsi="Calibr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35" w:hanging="451"/>
    </w:pPr>
    <w:rPr>
      <w:rFonts w:ascii="Calibri" w:eastAsia="Calibri" w:hAnsi="Calibri"/>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68E0"/>
    <w:rPr>
      <w:rFonts w:ascii="Tahoma" w:hAnsi="Tahoma" w:cs="Tahoma"/>
      <w:sz w:val="16"/>
      <w:szCs w:val="16"/>
    </w:rPr>
  </w:style>
  <w:style w:type="character" w:customStyle="1" w:styleId="BalloonTextChar">
    <w:name w:val="Balloon Text Char"/>
    <w:basedOn w:val="DefaultParagraphFont"/>
    <w:link w:val="BalloonText"/>
    <w:uiPriority w:val="99"/>
    <w:semiHidden/>
    <w:rsid w:val="003368E0"/>
    <w:rPr>
      <w:rFonts w:ascii="Tahoma" w:hAnsi="Tahoma" w:cs="Tahoma"/>
      <w:sz w:val="16"/>
      <w:szCs w:val="16"/>
    </w:rPr>
  </w:style>
  <w:style w:type="paragraph" w:styleId="Header">
    <w:name w:val="header"/>
    <w:basedOn w:val="Normal"/>
    <w:link w:val="HeaderChar"/>
    <w:uiPriority w:val="99"/>
    <w:unhideWhenUsed/>
    <w:rsid w:val="003368E0"/>
    <w:pPr>
      <w:tabs>
        <w:tab w:val="center" w:pos="4536"/>
        <w:tab w:val="right" w:pos="9072"/>
      </w:tabs>
    </w:pPr>
  </w:style>
  <w:style w:type="character" w:customStyle="1" w:styleId="HeaderChar">
    <w:name w:val="Header Char"/>
    <w:basedOn w:val="DefaultParagraphFont"/>
    <w:link w:val="Header"/>
    <w:uiPriority w:val="99"/>
    <w:rsid w:val="003368E0"/>
  </w:style>
  <w:style w:type="paragraph" w:styleId="Footer">
    <w:name w:val="footer"/>
    <w:basedOn w:val="Normal"/>
    <w:link w:val="FooterChar"/>
    <w:uiPriority w:val="99"/>
    <w:unhideWhenUsed/>
    <w:rsid w:val="003368E0"/>
    <w:pPr>
      <w:tabs>
        <w:tab w:val="center" w:pos="4536"/>
        <w:tab w:val="right" w:pos="9072"/>
      </w:tabs>
    </w:pPr>
  </w:style>
  <w:style w:type="character" w:customStyle="1" w:styleId="FooterChar">
    <w:name w:val="Footer Char"/>
    <w:basedOn w:val="DefaultParagraphFont"/>
    <w:link w:val="Footer"/>
    <w:uiPriority w:val="99"/>
    <w:rsid w:val="0033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Plenarna sjednica PEMPAL-a  Zajednica prakse za trezor(TCOP):    „Razvoj uloge i funkcija trezora u trenutnim uslovima“   Datum: 1. - 3. juna 2016.  Kišinjev, Moldavija</vt:lpstr>
    </vt:vector>
  </TitlesOfParts>
  <Company>Hewlett-Packard Company</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Plenarna sjednica PEMPAL-a  Zajednica prakse za trezor(TCOP):    „Razvoj uloge i funkcija trezora u trenutnim uslovima“   Datum: 1. - 3. juna 2016.  Kišinjev, Moldavija</dc:title>
  <dc:creator>Nada Skrkar</dc:creator>
  <cp:lastModifiedBy>Ekaterina A Zaleeva</cp:lastModifiedBy>
  <cp:revision>2</cp:revision>
  <dcterms:created xsi:type="dcterms:W3CDTF">2016-06-14T10:17:00Z</dcterms:created>
  <dcterms:modified xsi:type="dcterms:W3CDTF">2016-06-14T10:17:00Z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Microsoft® PowerPoint® 2010</vt:lpwstr>
  </property>
  <property fmtid="{D5CDD505-2E9C-101B-9397-08002B2CF9AE}" pid="4" name="LastSaved">
    <vt:filetime>2016-06-10T00:00:00Z</vt:filetime>
  </property>
</Properties>
</file>